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CB" w:rsidRDefault="008C3FD4">
      <w:pPr>
        <w:jc w:val="center"/>
        <w:rPr>
          <w:rFonts w:ascii="Arial" w:hAnsi="Arial" w:cs="Arial"/>
          <w:bCs/>
        </w:rPr>
      </w:pPr>
      <w:bookmarkStart w:id="0" w:name="_GoBack"/>
      <w:bookmarkEnd w:id="0"/>
      <w:r w:rsidRPr="00DA6270">
        <w:rPr>
          <w:rFonts w:ascii="Arial" w:hAnsi="Arial" w:cs="Arial"/>
          <w:bCs/>
          <w:noProof/>
        </w:rPr>
        <w:drawing>
          <wp:inline distT="0" distB="0" distL="0" distR="0">
            <wp:extent cx="882650" cy="920750"/>
            <wp:effectExtent l="0" t="0" r="0" b="0"/>
            <wp:docPr id="1" name="Picture 1" descr="MW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50" cy="920750"/>
                    </a:xfrm>
                    <a:prstGeom prst="rect">
                      <a:avLst/>
                    </a:prstGeom>
                    <a:noFill/>
                    <a:ln>
                      <a:noFill/>
                    </a:ln>
                  </pic:spPr>
                </pic:pic>
              </a:graphicData>
            </a:graphic>
          </wp:inline>
        </w:drawing>
      </w:r>
    </w:p>
    <w:p w:rsidR="002F54CB" w:rsidRDefault="002F54CB">
      <w:pPr>
        <w:rPr>
          <w:rFonts w:ascii="Arial" w:hAnsi="Arial" w:cs="Arial"/>
          <w:bCs/>
        </w:rPr>
      </w:pPr>
    </w:p>
    <w:p w:rsidR="002F54CB" w:rsidRPr="00A80020" w:rsidRDefault="002F54CB" w:rsidP="00A80020">
      <w:pPr>
        <w:pStyle w:val="Heading1"/>
        <w:ind w:left="-900"/>
        <w:rPr>
          <w:sz w:val="32"/>
          <w:szCs w:val="32"/>
        </w:rPr>
      </w:pPr>
      <w:r w:rsidRPr="00A80020">
        <w:rPr>
          <w:sz w:val="32"/>
          <w:szCs w:val="32"/>
        </w:rPr>
        <w:t>Minnesota Workforce Council Association</w:t>
      </w:r>
    </w:p>
    <w:p w:rsidR="00A80020" w:rsidRDefault="00A80020">
      <w:pPr>
        <w:jc w:val="center"/>
        <w:rPr>
          <w:rFonts w:ascii="Arial" w:hAnsi="Arial" w:cs="Arial"/>
          <w:b/>
        </w:rPr>
        <w:sectPr w:rsidR="00A80020" w:rsidSect="00036B3A">
          <w:pgSz w:w="12240" w:h="15840"/>
          <w:pgMar w:top="720" w:right="720" w:bottom="720" w:left="720" w:header="720" w:footer="720" w:gutter="0"/>
          <w:cols w:num="2" w:space="144"/>
          <w:docGrid w:linePitch="360"/>
        </w:sectPr>
      </w:pPr>
    </w:p>
    <w:p w:rsidR="002F54CB" w:rsidRDefault="002F54CB">
      <w:pPr>
        <w:jc w:val="center"/>
        <w:rPr>
          <w:rFonts w:ascii="Arial" w:hAnsi="Arial" w:cs="Arial"/>
          <w:b/>
        </w:rPr>
      </w:pPr>
    </w:p>
    <w:p w:rsidR="00A80020" w:rsidRDefault="00A80020">
      <w:pPr>
        <w:jc w:val="center"/>
        <w:rPr>
          <w:rFonts w:ascii="Arial" w:hAnsi="Arial" w:cs="Arial"/>
          <w:b/>
        </w:rPr>
      </w:pPr>
    </w:p>
    <w:p w:rsidR="002F54CB" w:rsidRDefault="00DA6270">
      <w:pPr>
        <w:rPr>
          <w:rFonts w:ascii="Arial" w:hAnsi="Arial" w:cs="Arial"/>
        </w:rPr>
      </w:pPr>
      <w:r w:rsidRPr="00DA6270">
        <w:rPr>
          <w:rFonts w:ascii="Arial" w:hAnsi="Arial" w:cs="Arial"/>
        </w:rPr>
        <w:t xml:space="preserve">The Minnesota Workforce Council Association was incorporated in 1994 and represents the interests of workforce councils and local elected officials in </w:t>
      </w:r>
      <w:smartTag w:uri="urn:schemas-microsoft-com:office:smarttags" w:element="State">
        <w:smartTag w:uri="urn:schemas-microsoft-com:office:smarttags" w:element="place">
          <w:r w:rsidRPr="00DA6270">
            <w:rPr>
              <w:rFonts w:ascii="Arial" w:hAnsi="Arial" w:cs="Arial"/>
            </w:rPr>
            <w:t>Minnesota</w:t>
          </w:r>
        </w:smartTag>
      </w:smartTag>
      <w:r w:rsidRPr="00DA6270">
        <w:rPr>
          <w:rFonts w:ascii="Arial" w:hAnsi="Arial" w:cs="Arial"/>
        </w:rPr>
        <w:t>. The Association provides a central forum for the partners to discuss common interests, develop policy consensus, share successful job training strategies and maintain lines of communication with state and federal governments. MWCA’s primary mission is to provide training and technical assistance to the Association membership and line staff providing the direct services to program participants.</w:t>
      </w:r>
    </w:p>
    <w:p w:rsidR="00DA6270" w:rsidRPr="00DA6270" w:rsidRDefault="00DA6270">
      <w:pPr>
        <w:rPr>
          <w:rFonts w:ascii="Arial" w:hAnsi="Arial" w:cs="Arial"/>
          <w:bCs/>
        </w:rPr>
      </w:pPr>
    </w:p>
    <w:p w:rsidR="002F54CB" w:rsidRPr="00DA6270" w:rsidRDefault="002F54CB">
      <w:pPr>
        <w:rPr>
          <w:rFonts w:ascii="Arial" w:hAnsi="Arial" w:cs="Arial"/>
          <w:b/>
          <w:bCs/>
        </w:rPr>
      </w:pPr>
      <w:r w:rsidRPr="00DA6270">
        <w:rPr>
          <w:rFonts w:ascii="Arial" w:hAnsi="Arial" w:cs="Arial"/>
          <w:b/>
          <w:bCs/>
        </w:rPr>
        <w:t>Membership:</w:t>
      </w:r>
    </w:p>
    <w:p w:rsidR="002F54CB" w:rsidRDefault="00041A64">
      <w:pPr>
        <w:rPr>
          <w:rFonts w:ascii="Arial" w:hAnsi="Arial" w:cs="Arial"/>
          <w:bCs/>
        </w:rPr>
      </w:pPr>
      <w:r>
        <w:rPr>
          <w:rFonts w:ascii="Arial" w:hAnsi="Arial" w:cs="Arial"/>
          <w:bCs/>
        </w:rPr>
        <w:t>Each Workforce Development Area</w:t>
      </w:r>
      <w:r w:rsidR="002F54CB">
        <w:rPr>
          <w:rFonts w:ascii="Arial" w:hAnsi="Arial" w:cs="Arial"/>
          <w:bCs/>
        </w:rPr>
        <w:t xml:space="preserve"> has three voting members:</w:t>
      </w:r>
    </w:p>
    <w:p w:rsidR="002F54CB" w:rsidRDefault="002F54CB">
      <w:pPr>
        <w:numPr>
          <w:ilvl w:val="0"/>
          <w:numId w:val="9"/>
        </w:numPr>
        <w:rPr>
          <w:rFonts w:ascii="Arial" w:hAnsi="Arial" w:cs="Arial"/>
          <w:bCs/>
        </w:rPr>
      </w:pPr>
      <w:r>
        <w:rPr>
          <w:rFonts w:ascii="Arial" w:hAnsi="Arial" w:cs="Arial"/>
          <w:bCs/>
        </w:rPr>
        <w:t>Chief Local Elected Official</w:t>
      </w:r>
    </w:p>
    <w:p w:rsidR="002F54CB" w:rsidRDefault="002F54CB">
      <w:pPr>
        <w:numPr>
          <w:ilvl w:val="0"/>
          <w:numId w:val="9"/>
        </w:numPr>
        <w:rPr>
          <w:rFonts w:ascii="Arial" w:hAnsi="Arial" w:cs="Arial"/>
          <w:bCs/>
        </w:rPr>
      </w:pPr>
      <w:r>
        <w:rPr>
          <w:rFonts w:ascii="Arial" w:hAnsi="Arial" w:cs="Arial"/>
          <w:bCs/>
        </w:rPr>
        <w:t xml:space="preserve">Workforce </w:t>
      </w:r>
      <w:r w:rsidR="00041A64">
        <w:rPr>
          <w:rFonts w:ascii="Arial" w:hAnsi="Arial" w:cs="Arial"/>
          <w:bCs/>
        </w:rPr>
        <w:t>Development</w:t>
      </w:r>
      <w:r>
        <w:rPr>
          <w:rFonts w:ascii="Arial" w:hAnsi="Arial" w:cs="Arial"/>
          <w:bCs/>
        </w:rPr>
        <w:t xml:space="preserve"> Board Chair</w:t>
      </w:r>
    </w:p>
    <w:p w:rsidR="002F54CB" w:rsidRDefault="00041A64">
      <w:pPr>
        <w:numPr>
          <w:ilvl w:val="0"/>
          <w:numId w:val="9"/>
        </w:numPr>
        <w:rPr>
          <w:rFonts w:ascii="Arial" w:hAnsi="Arial" w:cs="Arial"/>
          <w:bCs/>
        </w:rPr>
      </w:pPr>
      <w:r>
        <w:rPr>
          <w:rFonts w:ascii="Arial" w:hAnsi="Arial" w:cs="Arial"/>
          <w:bCs/>
        </w:rPr>
        <w:t>WD</w:t>
      </w:r>
      <w:r w:rsidR="002F54CB">
        <w:rPr>
          <w:rFonts w:ascii="Arial" w:hAnsi="Arial" w:cs="Arial"/>
          <w:bCs/>
        </w:rPr>
        <w:t>A Director</w:t>
      </w:r>
    </w:p>
    <w:p w:rsidR="009A34D3" w:rsidRDefault="009A34D3" w:rsidP="009A34D3">
      <w:pPr>
        <w:rPr>
          <w:rFonts w:ascii="Arial" w:hAnsi="Arial" w:cs="Arial"/>
          <w:bCs/>
        </w:rPr>
      </w:pPr>
      <w:r>
        <w:rPr>
          <w:rFonts w:ascii="Arial" w:hAnsi="Arial" w:cs="Arial"/>
          <w:bCs/>
        </w:rPr>
        <w:t xml:space="preserve">All MWCA sponsored events are open to voting members, </w:t>
      </w:r>
      <w:r w:rsidR="00041A64">
        <w:rPr>
          <w:rFonts w:ascii="Arial" w:hAnsi="Arial" w:cs="Arial"/>
          <w:bCs/>
        </w:rPr>
        <w:t>Board</w:t>
      </w:r>
      <w:r>
        <w:rPr>
          <w:rFonts w:ascii="Arial" w:hAnsi="Arial" w:cs="Arial"/>
          <w:bCs/>
        </w:rPr>
        <w:t xml:space="preserve"> members, and </w:t>
      </w:r>
      <w:r w:rsidR="00041A64">
        <w:rPr>
          <w:rFonts w:ascii="Arial" w:hAnsi="Arial" w:cs="Arial"/>
          <w:bCs/>
        </w:rPr>
        <w:t xml:space="preserve">local </w:t>
      </w:r>
      <w:r>
        <w:rPr>
          <w:rFonts w:ascii="Arial" w:hAnsi="Arial" w:cs="Arial"/>
          <w:bCs/>
        </w:rPr>
        <w:t>staff.</w:t>
      </w:r>
    </w:p>
    <w:p w:rsidR="002F54CB" w:rsidRDefault="002F54CB">
      <w:pPr>
        <w:rPr>
          <w:rFonts w:ascii="Arial" w:hAnsi="Arial" w:cs="Arial"/>
          <w:bCs/>
        </w:rPr>
      </w:pPr>
    </w:p>
    <w:p w:rsidR="002F54CB" w:rsidRPr="00DA6270" w:rsidRDefault="002F54CB">
      <w:pPr>
        <w:rPr>
          <w:rFonts w:ascii="Arial" w:hAnsi="Arial" w:cs="Arial"/>
          <w:b/>
          <w:bCs/>
        </w:rPr>
      </w:pPr>
      <w:r w:rsidRPr="00DA6270">
        <w:rPr>
          <w:rFonts w:ascii="Arial" w:hAnsi="Arial" w:cs="Arial"/>
          <w:b/>
          <w:bCs/>
        </w:rPr>
        <w:t>Functions:</w:t>
      </w:r>
    </w:p>
    <w:p w:rsidR="002F54CB" w:rsidRDefault="002F54CB">
      <w:pPr>
        <w:numPr>
          <w:ilvl w:val="0"/>
          <w:numId w:val="10"/>
        </w:numPr>
        <w:rPr>
          <w:rFonts w:ascii="Arial" w:hAnsi="Arial" w:cs="Arial"/>
          <w:bCs/>
        </w:rPr>
      </w:pPr>
      <w:r>
        <w:rPr>
          <w:rFonts w:ascii="Arial" w:hAnsi="Arial" w:cs="Arial"/>
          <w:bCs/>
        </w:rPr>
        <w:t>Represent the interests of local employment and training partners throughout the state</w:t>
      </w:r>
    </w:p>
    <w:p w:rsidR="002F54CB" w:rsidRDefault="002F54CB">
      <w:pPr>
        <w:numPr>
          <w:ilvl w:val="0"/>
          <w:numId w:val="10"/>
        </w:numPr>
        <w:rPr>
          <w:rFonts w:ascii="Arial" w:hAnsi="Arial" w:cs="Arial"/>
          <w:bCs/>
        </w:rPr>
      </w:pPr>
      <w:r>
        <w:rPr>
          <w:rFonts w:ascii="Arial" w:hAnsi="Arial" w:cs="Arial"/>
          <w:bCs/>
        </w:rPr>
        <w:t>Provide a forum to discuss common interests</w:t>
      </w:r>
    </w:p>
    <w:p w:rsidR="002F54CB" w:rsidRDefault="002F54CB">
      <w:pPr>
        <w:numPr>
          <w:ilvl w:val="0"/>
          <w:numId w:val="10"/>
        </w:numPr>
        <w:rPr>
          <w:rFonts w:ascii="Arial" w:hAnsi="Arial" w:cs="Arial"/>
          <w:bCs/>
        </w:rPr>
      </w:pPr>
      <w:r>
        <w:rPr>
          <w:rFonts w:ascii="Arial" w:hAnsi="Arial" w:cs="Arial"/>
          <w:bCs/>
        </w:rPr>
        <w:t>Develop policy consensus and share information with elected officials</w:t>
      </w:r>
    </w:p>
    <w:p w:rsidR="002F54CB" w:rsidRDefault="002F54CB">
      <w:pPr>
        <w:numPr>
          <w:ilvl w:val="0"/>
          <w:numId w:val="10"/>
        </w:numPr>
        <w:rPr>
          <w:rFonts w:ascii="Arial" w:hAnsi="Arial" w:cs="Arial"/>
          <w:bCs/>
        </w:rPr>
      </w:pPr>
      <w:r>
        <w:rPr>
          <w:rFonts w:ascii="Arial" w:hAnsi="Arial" w:cs="Arial"/>
          <w:bCs/>
        </w:rPr>
        <w:t>Share and communicate successful strategies among partners</w:t>
      </w:r>
    </w:p>
    <w:p w:rsidR="002F54CB" w:rsidRDefault="002F54CB">
      <w:pPr>
        <w:numPr>
          <w:ilvl w:val="0"/>
          <w:numId w:val="10"/>
        </w:numPr>
        <w:rPr>
          <w:rFonts w:ascii="Arial" w:hAnsi="Arial" w:cs="Arial"/>
          <w:bCs/>
        </w:rPr>
      </w:pPr>
      <w:r>
        <w:rPr>
          <w:rFonts w:ascii="Arial" w:hAnsi="Arial" w:cs="Arial"/>
          <w:bCs/>
        </w:rPr>
        <w:t xml:space="preserve">Provide training on emerging issues within the workforce system </w:t>
      </w:r>
    </w:p>
    <w:p w:rsidR="002F54CB" w:rsidRDefault="002F54CB">
      <w:pPr>
        <w:numPr>
          <w:ilvl w:val="0"/>
          <w:numId w:val="10"/>
        </w:numPr>
        <w:rPr>
          <w:rFonts w:ascii="Arial" w:hAnsi="Arial" w:cs="Arial"/>
          <w:bCs/>
        </w:rPr>
      </w:pPr>
      <w:r>
        <w:rPr>
          <w:rFonts w:ascii="Arial" w:hAnsi="Arial" w:cs="Arial"/>
          <w:bCs/>
        </w:rPr>
        <w:t xml:space="preserve">Encourage the development of members </w:t>
      </w:r>
    </w:p>
    <w:p w:rsidR="002F54CB" w:rsidRDefault="002F54CB">
      <w:pPr>
        <w:numPr>
          <w:ilvl w:val="0"/>
          <w:numId w:val="10"/>
        </w:numPr>
        <w:rPr>
          <w:rFonts w:ascii="Arial" w:hAnsi="Arial" w:cs="Arial"/>
          <w:bCs/>
        </w:rPr>
      </w:pPr>
      <w:r>
        <w:rPr>
          <w:rFonts w:ascii="Arial" w:hAnsi="Arial" w:cs="Arial"/>
          <w:bCs/>
        </w:rPr>
        <w:t>Serve as a liaison to state and federal entities</w:t>
      </w:r>
    </w:p>
    <w:p w:rsidR="002F54CB" w:rsidRDefault="008C3FD4">
      <w:pPr>
        <w:rPr>
          <w:rFonts w:ascii="Arial" w:hAnsi="Arial" w:cs="Arial"/>
          <w:bCs/>
        </w:rPr>
      </w:pPr>
      <w:r>
        <w:rPr>
          <w:noProof/>
        </w:rPr>
        <mc:AlternateContent>
          <mc:Choice Requires="wps">
            <w:drawing>
              <wp:anchor distT="0" distB="0" distL="114300" distR="114300" simplePos="0" relativeHeight="251657728" behindDoc="0" locked="0" layoutInCell="0" allowOverlap="1">
                <wp:simplePos x="0" y="0"/>
                <wp:positionH relativeFrom="margin">
                  <wp:posOffset>3830955</wp:posOffset>
                </wp:positionH>
                <wp:positionV relativeFrom="margin">
                  <wp:posOffset>5334000</wp:posOffset>
                </wp:positionV>
                <wp:extent cx="2931795" cy="2371725"/>
                <wp:effectExtent l="20955" t="1905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2371725"/>
                        </a:xfrm>
                        <a:prstGeom prst="bracketPair">
                          <a:avLst>
                            <a:gd name="adj" fmla="val 8051"/>
                          </a:avLst>
                        </a:prstGeom>
                        <a:noFill/>
                        <a:ln w="38100">
                          <a:solidFill>
                            <a:srgbClr val="1F497D"/>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8F69BE" w:rsidRDefault="008F69BE" w:rsidP="008F69BE">
                            <w:pPr>
                              <w:jc w:val="center"/>
                              <w:rPr>
                                <w:rFonts w:ascii="Arial" w:hAnsi="Arial" w:cs="Arial"/>
                                <w:i/>
                                <w:sz w:val="32"/>
                                <w:szCs w:val="32"/>
                              </w:rPr>
                            </w:pPr>
                            <w:r w:rsidRPr="008F69BE">
                              <w:rPr>
                                <w:rFonts w:ascii="Arial" w:hAnsi="Arial" w:cs="Arial"/>
                                <w:i/>
                                <w:sz w:val="32"/>
                                <w:szCs w:val="32"/>
                              </w:rPr>
                              <w:t xml:space="preserve">It is the mission of the Minnesota Workforce Council Association </w:t>
                            </w:r>
                          </w:p>
                          <w:p w:rsidR="008F69BE" w:rsidRPr="008F69BE" w:rsidRDefault="008F69BE" w:rsidP="008F69BE">
                            <w:pPr>
                              <w:jc w:val="center"/>
                              <w:rPr>
                                <w:rFonts w:ascii="Arial" w:hAnsi="Arial" w:cs="Arial"/>
                                <w:i/>
                                <w:iCs/>
                                <w:color w:val="7F7F7F"/>
                                <w:sz w:val="32"/>
                                <w:szCs w:val="32"/>
                              </w:rPr>
                            </w:pPr>
                            <w:r w:rsidRPr="008F69BE">
                              <w:rPr>
                                <w:rFonts w:ascii="Arial" w:hAnsi="Arial" w:cs="Arial"/>
                                <w:i/>
                                <w:sz w:val="32"/>
                                <w:szCs w:val="32"/>
                              </w:rPr>
                              <w:t>to provide Minnesota with a skilled and competitive workforce through engaged and proactive local elected officials, workforce boards, and staff.</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01.65pt;margin-top:420pt;width:230.85pt;height:18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" o:allowincell="f" adj="1739" fillcolor="#943634" strokecolor="#1f497d" strokeweight="3pt">
                <v:shadow color="#5d7035" offset="1pt,1pt"/>
                <v:textbox inset="3.6pt,,3.6pt">
                  <w:txbxContent>
                    <w:p w:rsidR="008F69BE" w:rsidRDefault="008F69BE" w:rsidP="008F69BE">
                      <w:pPr>
                        <w:jc w:val="center"/>
                        <w:rPr>
                          <w:rFonts w:ascii="Arial" w:hAnsi="Arial" w:cs="Arial"/>
                          <w:i/>
                          <w:sz w:val="32"/>
                          <w:szCs w:val="32"/>
                        </w:rPr>
                      </w:pPr>
                      <w:r w:rsidRPr="008F69BE">
                        <w:rPr>
                          <w:rFonts w:ascii="Arial" w:hAnsi="Arial" w:cs="Arial"/>
                          <w:i/>
                          <w:sz w:val="32"/>
                          <w:szCs w:val="32"/>
                        </w:rPr>
                        <w:t xml:space="preserve">It is the mission of the Minnesota Workforce Council Association </w:t>
                      </w:r>
                    </w:p>
                    <w:p w:rsidR="008F69BE" w:rsidRPr="008F69BE" w:rsidRDefault="008F69BE" w:rsidP="008F69BE">
                      <w:pPr>
                        <w:jc w:val="center"/>
                        <w:rPr>
                          <w:rFonts w:ascii="Arial" w:hAnsi="Arial" w:cs="Arial"/>
                          <w:i/>
                          <w:iCs/>
                          <w:color w:val="7F7F7F"/>
                          <w:sz w:val="32"/>
                          <w:szCs w:val="32"/>
                        </w:rPr>
                      </w:pPr>
                      <w:r w:rsidRPr="008F69BE">
                        <w:rPr>
                          <w:rFonts w:ascii="Arial" w:hAnsi="Arial" w:cs="Arial"/>
                          <w:i/>
                          <w:sz w:val="32"/>
                          <w:szCs w:val="32"/>
                        </w:rPr>
                        <w:t>to provide Minnesota with a skilled and competitive workforce through engaged and proactive local elected officials, workforce boards, and staff.</w:t>
                      </w:r>
                    </w:p>
                  </w:txbxContent>
                </v:textbox>
                <w10:wrap type="square" anchorx="margin" anchory="margin"/>
              </v:shape>
            </w:pict>
          </mc:Fallback>
        </mc:AlternateContent>
      </w:r>
    </w:p>
    <w:p w:rsidR="002F54CB" w:rsidRPr="00DA6270" w:rsidRDefault="002F54CB">
      <w:pPr>
        <w:rPr>
          <w:rFonts w:ascii="Arial" w:hAnsi="Arial" w:cs="Arial"/>
          <w:b/>
          <w:bCs/>
        </w:rPr>
      </w:pPr>
      <w:r w:rsidRPr="00DA6270">
        <w:rPr>
          <w:rFonts w:ascii="Arial" w:hAnsi="Arial" w:cs="Arial"/>
          <w:b/>
          <w:bCs/>
        </w:rPr>
        <w:t>Standing Committees:</w:t>
      </w:r>
    </w:p>
    <w:p w:rsidR="002F54CB" w:rsidRDefault="002F54CB">
      <w:pPr>
        <w:numPr>
          <w:ilvl w:val="0"/>
          <w:numId w:val="11"/>
        </w:numPr>
        <w:rPr>
          <w:rFonts w:ascii="Arial" w:hAnsi="Arial" w:cs="Arial"/>
          <w:bCs/>
        </w:rPr>
      </w:pPr>
      <w:r>
        <w:rPr>
          <w:rFonts w:ascii="Arial" w:hAnsi="Arial" w:cs="Arial"/>
          <w:bCs/>
        </w:rPr>
        <w:t>Executive Committee</w:t>
      </w:r>
    </w:p>
    <w:p w:rsidR="002F54CB" w:rsidRDefault="002F54CB">
      <w:pPr>
        <w:numPr>
          <w:ilvl w:val="0"/>
          <w:numId w:val="11"/>
        </w:numPr>
        <w:rPr>
          <w:rFonts w:ascii="Arial" w:hAnsi="Arial" w:cs="Arial"/>
          <w:bCs/>
        </w:rPr>
      </w:pPr>
      <w:r>
        <w:rPr>
          <w:rFonts w:ascii="Arial" w:hAnsi="Arial" w:cs="Arial"/>
          <w:bCs/>
        </w:rPr>
        <w:t>Legislative Committee</w:t>
      </w:r>
    </w:p>
    <w:p w:rsidR="002F54CB" w:rsidRDefault="002F54CB">
      <w:pPr>
        <w:numPr>
          <w:ilvl w:val="0"/>
          <w:numId w:val="11"/>
        </w:numPr>
        <w:rPr>
          <w:rFonts w:ascii="Arial" w:hAnsi="Arial" w:cs="Arial"/>
          <w:bCs/>
        </w:rPr>
      </w:pPr>
      <w:r>
        <w:rPr>
          <w:rFonts w:ascii="Arial" w:hAnsi="Arial" w:cs="Arial"/>
          <w:bCs/>
        </w:rPr>
        <w:t>Operations Committee</w:t>
      </w:r>
    </w:p>
    <w:p w:rsidR="002F54CB" w:rsidRDefault="002F54CB">
      <w:pPr>
        <w:rPr>
          <w:rFonts w:ascii="Arial" w:hAnsi="Arial" w:cs="Arial"/>
          <w:bCs/>
        </w:rPr>
      </w:pPr>
    </w:p>
    <w:p w:rsidR="002F54CB" w:rsidRPr="00DA6270" w:rsidRDefault="00BA4EEC">
      <w:pPr>
        <w:rPr>
          <w:rFonts w:ascii="Arial" w:hAnsi="Arial" w:cs="Arial"/>
          <w:b/>
          <w:bCs/>
        </w:rPr>
      </w:pPr>
      <w:r w:rsidRPr="00DA6270">
        <w:rPr>
          <w:rFonts w:ascii="Arial" w:hAnsi="Arial" w:cs="Arial"/>
          <w:b/>
          <w:bCs/>
        </w:rPr>
        <w:t>Ad Hoc Committees</w:t>
      </w:r>
      <w:r w:rsidR="008F69BE">
        <w:rPr>
          <w:rFonts w:ascii="Arial" w:hAnsi="Arial" w:cs="Arial"/>
          <w:b/>
          <w:bCs/>
        </w:rPr>
        <w:t xml:space="preserve"> and Work Groups (examples)</w:t>
      </w:r>
      <w:r w:rsidRPr="00DA6270">
        <w:rPr>
          <w:rFonts w:ascii="Arial" w:hAnsi="Arial" w:cs="Arial"/>
          <w:b/>
          <w:bCs/>
        </w:rPr>
        <w:t>:</w:t>
      </w:r>
    </w:p>
    <w:p w:rsidR="002F54CB" w:rsidRDefault="008F69BE">
      <w:pPr>
        <w:numPr>
          <w:ilvl w:val="0"/>
          <w:numId w:val="12"/>
        </w:numPr>
        <w:rPr>
          <w:rFonts w:ascii="Arial" w:hAnsi="Arial" w:cs="Arial"/>
          <w:bCs/>
        </w:rPr>
      </w:pPr>
      <w:r>
        <w:rPr>
          <w:rFonts w:ascii="Arial" w:hAnsi="Arial" w:cs="Arial"/>
          <w:bCs/>
        </w:rPr>
        <w:t>Gang of Eight/WIOA Implementation</w:t>
      </w:r>
    </w:p>
    <w:p w:rsidR="002F54CB" w:rsidRDefault="008F69BE">
      <w:pPr>
        <w:numPr>
          <w:ilvl w:val="0"/>
          <w:numId w:val="12"/>
        </w:numPr>
        <w:rPr>
          <w:rFonts w:ascii="Arial" w:hAnsi="Arial" w:cs="Arial"/>
          <w:bCs/>
        </w:rPr>
      </w:pPr>
      <w:r>
        <w:rPr>
          <w:rFonts w:ascii="Arial" w:hAnsi="Arial" w:cs="Arial"/>
          <w:bCs/>
        </w:rPr>
        <w:t>Marketing and Branding</w:t>
      </w:r>
    </w:p>
    <w:p w:rsidR="00BA4EEC" w:rsidRDefault="00BA4EEC">
      <w:pPr>
        <w:numPr>
          <w:ilvl w:val="0"/>
          <w:numId w:val="12"/>
        </w:numPr>
        <w:rPr>
          <w:rFonts w:ascii="Arial" w:hAnsi="Arial" w:cs="Arial"/>
          <w:bCs/>
        </w:rPr>
      </w:pPr>
      <w:r>
        <w:rPr>
          <w:rFonts w:ascii="Arial" w:hAnsi="Arial" w:cs="Arial"/>
          <w:bCs/>
        </w:rPr>
        <w:t>Business Services</w:t>
      </w:r>
    </w:p>
    <w:p w:rsidR="00CF2BAC" w:rsidRDefault="00CF2BAC">
      <w:pPr>
        <w:numPr>
          <w:ilvl w:val="0"/>
          <w:numId w:val="12"/>
        </w:numPr>
        <w:rPr>
          <w:rFonts w:ascii="Arial" w:hAnsi="Arial" w:cs="Arial"/>
          <w:bCs/>
        </w:rPr>
      </w:pPr>
      <w:r>
        <w:rPr>
          <w:rFonts w:ascii="Arial" w:hAnsi="Arial" w:cs="Arial"/>
          <w:bCs/>
        </w:rPr>
        <w:t>Workforce Board Development</w:t>
      </w:r>
    </w:p>
    <w:p w:rsidR="00CF2BAC" w:rsidRDefault="00CF2BAC">
      <w:pPr>
        <w:numPr>
          <w:ilvl w:val="0"/>
          <w:numId w:val="12"/>
        </w:numPr>
        <w:rPr>
          <w:rFonts w:ascii="Arial" w:hAnsi="Arial" w:cs="Arial"/>
          <w:bCs/>
        </w:rPr>
      </w:pPr>
      <w:r>
        <w:rPr>
          <w:rFonts w:ascii="Arial" w:hAnsi="Arial" w:cs="Arial"/>
          <w:bCs/>
        </w:rPr>
        <w:t>Equity/Disparities</w:t>
      </w:r>
    </w:p>
    <w:p w:rsidR="00CF2BAC" w:rsidRDefault="00CF2BAC">
      <w:pPr>
        <w:numPr>
          <w:ilvl w:val="0"/>
          <w:numId w:val="12"/>
        </w:numPr>
        <w:rPr>
          <w:rFonts w:ascii="Arial" w:hAnsi="Arial" w:cs="Arial"/>
          <w:bCs/>
        </w:rPr>
      </w:pPr>
      <w:r>
        <w:rPr>
          <w:rFonts w:ascii="Arial" w:hAnsi="Arial" w:cs="Arial"/>
          <w:bCs/>
        </w:rPr>
        <w:t>Jobseeker Services</w:t>
      </w:r>
    </w:p>
    <w:p w:rsidR="008F69BE" w:rsidRDefault="008F69BE" w:rsidP="008F69BE">
      <w:pPr>
        <w:ind w:left="720"/>
        <w:rPr>
          <w:rFonts w:ascii="Arial" w:hAnsi="Arial" w:cs="Arial"/>
          <w:bCs/>
        </w:rPr>
      </w:pPr>
    </w:p>
    <w:p w:rsidR="00DA6270" w:rsidRPr="00DA6270" w:rsidRDefault="00A80020">
      <w:pPr>
        <w:rPr>
          <w:rFonts w:ascii="Arial" w:hAnsi="Arial" w:cs="Arial"/>
          <w:b/>
        </w:rPr>
      </w:pPr>
      <w:r>
        <w:rPr>
          <w:rFonts w:ascii="Arial" w:hAnsi="Arial" w:cs="Arial"/>
          <w:b/>
        </w:rPr>
        <w:t>Chair: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Staff </w:t>
      </w:r>
      <w:r w:rsidR="00DA6270" w:rsidRPr="00DA6270">
        <w:rPr>
          <w:rFonts w:ascii="Arial" w:hAnsi="Arial" w:cs="Arial"/>
          <w:b/>
        </w:rPr>
        <w:t>Contact Information:</w:t>
      </w:r>
    </w:p>
    <w:p w:rsidR="00DA6270" w:rsidRDefault="00A80020">
      <w:pPr>
        <w:rPr>
          <w:rFonts w:ascii="Arial" w:hAnsi="Arial" w:cs="Arial"/>
        </w:rPr>
      </w:pPr>
      <w:r>
        <w:rPr>
          <w:rFonts w:ascii="Arial" w:hAnsi="Arial" w:cs="Arial"/>
        </w:rPr>
        <w:t>Ron Antony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6270">
        <w:rPr>
          <w:rFonts w:ascii="Arial" w:hAnsi="Arial" w:cs="Arial"/>
        </w:rPr>
        <w:t xml:space="preserve">Anne </w:t>
      </w:r>
      <w:r w:rsidR="000E4504">
        <w:rPr>
          <w:rFonts w:ascii="Arial" w:hAnsi="Arial" w:cs="Arial"/>
        </w:rPr>
        <w:t>Kilzer</w:t>
      </w:r>
      <w:r w:rsidR="00DA6270">
        <w:rPr>
          <w:rFonts w:ascii="Arial" w:hAnsi="Arial" w:cs="Arial"/>
        </w:rPr>
        <w:t>, Director</w:t>
      </w:r>
    </w:p>
    <w:p w:rsidR="00DA6270" w:rsidRPr="00DA6270" w:rsidRDefault="00A80020">
      <w:pPr>
        <w:rPr>
          <w:rFonts w:ascii="Arial" w:hAnsi="Arial" w:cs="Arial"/>
        </w:rPr>
      </w:pPr>
      <w:r>
        <w:rPr>
          <w:rFonts w:ascii="Arial" w:hAnsi="Arial" w:cs="Arial"/>
        </w:rPr>
        <w:t>Commissioner, Yellow Medicine County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6" w:history="1">
        <w:r w:rsidR="000E4504" w:rsidRPr="00160A62">
          <w:rPr>
            <w:rStyle w:val="Hyperlink"/>
            <w:rFonts w:ascii="Arial" w:hAnsi="Arial" w:cs="Arial"/>
          </w:rPr>
          <w:t>akilzer@mncounties.org</w:t>
        </w:r>
      </w:hyperlink>
    </w:p>
    <w:p w:rsidR="00DA6270" w:rsidRDefault="00A80020">
      <w:pPr>
        <w:rPr>
          <w:rFonts w:ascii="Arial" w:hAnsi="Arial" w:cs="Arial"/>
        </w:rPr>
      </w:pPr>
      <w:r>
        <w:rPr>
          <w:rFonts w:ascii="Arial" w:hAnsi="Arial" w:cs="Arial"/>
        </w:rPr>
        <w:t>Southwest Minnesota Joint Powers Board</w:t>
      </w:r>
      <w:r>
        <w:rPr>
          <w:rFonts w:ascii="Arial" w:hAnsi="Arial" w:cs="Arial"/>
        </w:rPr>
        <w:tab/>
      </w:r>
      <w:r>
        <w:rPr>
          <w:rFonts w:ascii="Arial" w:hAnsi="Arial" w:cs="Arial"/>
        </w:rPr>
        <w:tab/>
      </w:r>
      <w:r>
        <w:rPr>
          <w:rFonts w:ascii="Arial" w:hAnsi="Arial" w:cs="Arial"/>
        </w:rPr>
        <w:tab/>
      </w:r>
      <w:r>
        <w:rPr>
          <w:rFonts w:ascii="Arial" w:hAnsi="Arial" w:cs="Arial"/>
        </w:rPr>
        <w:tab/>
        <w:t>651.789.4323</w:t>
      </w:r>
      <w:r>
        <w:rPr>
          <w:rFonts w:ascii="Arial" w:hAnsi="Arial" w:cs="Arial"/>
        </w:rPr>
        <w:tab/>
      </w:r>
    </w:p>
    <w:p w:rsidR="00A80020" w:rsidRPr="00DA6270" w:rsidRDefault="00A800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www.mwca-mn.org</w:t>
      </w:r>
    </w:p>
    <w:sectPr w:rsidR="00A80020" w:rsidRPr="00DA6270" w:rsidSect="00A8002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5E4"/>
    <w:multiLevelType w:val="hybridMultilevel"/>
    <w:tmpl w:val="387E8E72"/>
    <w:lvl w:ilvl="0" w:tplc="745A2E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87BF6"/>
    <w:multiLevelType w:val="hybridMultilevel"/>
    <w:tmpl w:val="C1627FBE"/>
    <w:lvl w:ilvl="0" w:tplc="37BCB80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E404D7"/>
    <w:multiLevelType w:val="hybridMultilevel"/>
    <w:tmpl w:val="B146369A"/>
    <w:lvl w:ilvl="0" w:tplc="37BCB80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1485E"/>
    <w:multiLevelType w:val="hybridMultilevel"/>
    <w:tmpl w:val="F38CE2A2"/>
    <w:lvl w:ilvl="0" w:tplc="37BCB80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D31DF"/>
    <w:multiLevelType w:val="hybridMultilevel"/>
    <w:tmpl w:val="F2FA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524C4"/>
    <w:multiLevelType w:val="hybridMultilevel"/>
    <w:tmpl w:val="35068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8357A"/>
    <w:multiLevelType w:val="hybridMultilevel"/>
    <w:tmpl w:val="C6A2C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2C3CC1"/>
    <w:multiLevelType w:val="hybridMultilevel"/>
    <w:tmpl w:val="EE62A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4095D"/>
    <w:multiLevelType w:val="hybridMultilevel"/>
    <w:tmpl w:val="BCC8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192FE5"/>
    <w:multiLevelType w:val="hybridMultilevel"/>
    <w:tmpl w:val="D1AA169C"/>
    <w:lvl w:ilvl="0" w:tplc="37BCB80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D8B4A55"/>
    <w:multiLevelType w:val="hybridMultilevel"/>
    <w:tmpl w:val="AD42331E"/>
    <w:lvl w:ilvl="0" w:tplc="37BCB80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E73012"/>
    <w:multiLevelType w:val="multilevel"/>
    <w:tmpl w:val="B27E2D3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6"/>
  </w:num>
  <w:num w:numId="5">
    <w:abstractNumId w:val="2"/>
  </w:num>
  <w:num w:numId="6">
    <w:abstractNumId w:val="1"/>
  </w:num>
  <w:num w:numId="7">
    <w:abstractNumId w:val="11"/>
  </w:num>
  <w:num w:numId="8">
    <w:abstractNumId w:val="0"/>
  </w:num>
  <w:num w:numId="9">
    <w:abstractNumId w:val="4"/>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EC"/>
    <w:rsid w:val="00036B3A"/>
    <w:rsid w:val="00041A64"/>
    <w:rsid w:val="000E4504"/>
    <w:rsid w:val="000E68BB"/>
    <w:rsid w:val="002F54CB"/>
    <w:rsid w:val="003603DD"/>
    <w:rsid w:val="003C57F7"/>
    <w:rsid w:val="00552825"/>
    <w:rsid w:val="00746FA4"/>
    <w:rsid w:val="008C3FD4"/>
    <w:rsid w:val="008F69BE"/>
    <w:rsid w:val="008F72FE"/>
    <w:rsid w:val="009A34D3"/>
    <w:rsid w:val="00A80020"/>
    <w:rsid w:val="00BA4EEC"/>
    <w:rsid w:val="00C7470A"/>
    <w:rsid w:val="00CF2BAC"/>
    <w:rsid w:val="00DA6270"/>
    <w:rsid w:val="00F74DB6"/>
    <w:rsid w:val="00F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D60EB6A-A281-43CE-906C-7390FB73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6270"/>
    <w:rPr>
      <w:color w:val="0000FF"/>
      <w:u w:val="single"/>
    </w:rPr>
  </w:style>
  <w:style w:type="paragraph" w:styleId="BalloonText">
    <w:name w:val="Balloon Text"/>
    <w:basedOn w:val="Normal"/>
    <w:link w:val="BalloonTextChar"/>
    <w:rsid w:val="008F69BE"/>
    <w:rPr>
      <w:rFonts w:ascii="Tahoma" w:hAnsi="Tahoma" w:cs="Tahoma"/>
      <w:sz w:val="16"/>
      <w:szCs w:val="16"/>
    </w:rPr>
  </w:style>
  <w:style w:type="character" w:customStyle="1" w:styleId="BalloonTextChar">
    <w:name w:val="Balloon Text Char"/>
    <w:link w:val="BalloonText"/>
    <w:rsid w:val="008F6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lzer@mncount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5</vt:lpstr>
    </vt:vector>
  </TitlesOfParts>
  <Company>State of Minnesota</Company>
  <LinksUpToDate>false</LinksUpToDate>
  <CharactersWithSpaces>1810</CharactersWithSpaces>
  <SharedDoc>false</SharedDoc>
  <HLinks>
    <vt:vector size="6" baseType="variant">
      <vt:variant>
        <vt:i4>5505138</vt:i4>
      </vt:variant>
      <vt:variant>
        <vt:i4>0</vt:i4>
      </vt:variant>
      <vt:variant>
        <vt:i4>0</vt:i4>
      </vt:variant>
      <vt:variant>
        <vt:i4>5</vt:i4>
      </vt:variant>
      <vt:variant>
        <vt:lpwstr>mailto:akilzer@mncounties.org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desuser</dc:creator>
  <cp:keywords/>
  <cp:lastModifiedBy>Elizabeth Andress</cp:lastModifiedBy>
  <cp:revision>2</cp:revision>
  <cp:lastPrinted>2016-04-06T15:24:00Z</cp:lastPrinted>
  <dcterms:created xsi:type="dcterms:W3CDTF">2017-08-14T18:12:00Z</dcterms:created>
  <dcterms:modified xsi:type="dcterms:W3CDTF">2017-08-14T18:12:00Z</dcterms:modified>
</cp:coreProperties>
</file>