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A2" w:rsidRDefault="00EA3EA2" w:rsidP="00EA3EA2">
      <w:pPr>
        <w:pStyle w:val="normal0"/>
        <w:jc w:val="center"/>
        <w:rPr>
          <w:rFonts w:ascii="Calibri" w:eastAsia="Calibri" w:hAnsi="Calibri" w:cs="Calibri"/>
          <w:b/>
          <w:sz w:val="28"/>
          <w:szCs w:val="28"/>
        </w:rPr>
      </w:pPr>
      <w:r>
        <w:rPr>
          <w:rFonts w:ascii="Calibri" w:eastAsia="Calibri" w:hAnsi="Calibri" w:cs="Calibri"/>
          <w:b/>
          <w:sz w:val="28"/>
          <w:szCs w:val="28"/>
        </w:rPr>
        <w:t>Mathematics High-Value Action Tool</w:t>
      </w:r>
    </w:p>
    <w:p w:rsidR="00EA3EA2" w:rsidRDefault="00EA3EA2" w:rsidP="00EA3EA2">
      <w:pPr>
        <w:pStyle w:val="normal0"/>
        <w:jc w:val="center"/>
        <w:rPr>
          <w:rFonts w:ascii="Calibri" w:eastAsia="Calibri" w:hAnsi="Calibri" w:cs="Calibri"/>
          <w:sz w:val="24"/>
          <w:szCs w:val="24"/>
        </w:rPr>
      </w:pPr>
      <w:r>
        <w:rPr>
          <w:rFonts w:ascii="Calibri" w:eastAsia="Calibri" w:hAnsi="Calibri" w:cs="Calibri"/>
          <w:sz w:val="24"/>
          <w:szCs w:val="24"/>
        </w:rPr>
        <w:t>Title of Resource: ___________________</w:t>
      </w:r>
      <w:r>
        <w:rPr>
          <w:rFonts w:ascii="Calibri" w:eastAsia="Calibri" w:hAnsi="Calibri" w:cs="Calibri"/>
          <w:sz w:val="24"/>
          <w:szCs w:val="24"/>
        </w:rPr>
        <w:tab/>
        <w:t xml:space="preserve">Source/Publisher: ___________________    </w:t>
      </w:r>
    </w:p>
    <w:p w:rsidR="00EA3EA2" w:rsidRDefault="00EA3EA2" w:rsidP="00EA3EA2">
      <w:pPr>
        <w:pStyle w:val="normal0"/>
        <w:jc w:val="center"/>
        <w:rPr>
          <w:rFonts w:ascii="Calibri" w:eastAsia="Calibri" w:hAnsi="Calibri" w:cs="Calibri"/>
          <w:sz w:val="24"/>
          <w:szCs w:val="24"/>
        </w:rPr>
      </w:pPr>
      <w:r>
        <w:rPr>
          <w:rFonts w:ascii="Calibri" w:eastAsia="Calibri" w:hAnsi="Calibri" w:cs="Calibri"/>
          <w:sz w:val="24"/>
          <w:szCs w:val="24"/>
        </w:rPr>
        <w:t>Date of Publication:_________________     Evaluation Date: _____________________</w:t>
      </w:r>
    </w:p>
    <w:p w:rsidR="00EA3EA2" w:rsidRDefault="00EA3EA2" w:rsidP="00EA3EA2">
      <w:pPr>
        <w:pStyle w:val="normal0"/>
        <w:jc w:val="center"/>
        <w:rPr>
          <w:rFonts w:ascii="Calibri" w:eastAsia="Calibri" w:hAnsi="Calibri" w:cs="Calibri"/>
          <w:sz w:val="20"/>
          <w:szCs w:val="20"/>
        </w:rPr>
      </w:pPr>
    </w:p>
    <w:p w:rsidR="00EA3EA2" w:rsidRDefault="00EA3EA2" w:rsidP="00EA3EA2">
      <w:pPr>
        <w:pStyle w:val="normal0"/>
        <w:rPr>
          <w:rFonts w:ascii="Calibri" w:eastAsia="Calibri" w:hAnsi="Calibri" w:cs="Calibri"/>
          <w:sz w:val="24"/>
          <w:szCs w:val="24"/>
        </w:rPr>
      </w:pPr>
      <w:r>
        <w:rPr>
          <w:rFonts w:ascii="Calibri" w:eastAsia="Calibri" w:hAnsi="Calibri" w:cs="Calibri"/>
          <w:b/>
          <w:sz w:val="24"/>
          <w:szCs w:val="24"/>
        </w:rPr>
        <w:t>Determine the high-value actions needed to fill gaps for the dimensions that make up each criterion.</w:t>
      </w:r>
      <w:r>
        <w:rPr>
          <w:rFonts w:ascii="Calibri" w:eastAsia="Calibri" w:hAnsi="Calibri" w:cs="Calibri"/>
          <w:sz w:val="24"/>
          <w:szCs w:val="24"/>
        </w:rPr>
        <w:t xml:space="preserve"> Identify the high-value action(s) related to each criterion that will strengthen the alignment of the resource to the CCRS. Utilize the “additional notes” section to provide information that would be useful for colleagues considering the resource, including suggestions for supplements to strengthen CCRS alignment. </w:t>
      </w:r>
    </w:p>
    <w:p w:rsidR="00EA3EA2" w:rsidRDefault="00EA3EA2" w:rsidP="00EA3EA2">
      <w:pPr>
        <w:pStyle w:val="normal0"/>
        <w:rPr>
          <w:rFonts w:ascii="Calibri" w:eastAsia="Calibri" w:hAnsi="Calibri" w:cs="Calibri"/>
          <w:sz w:val="16"/>
          <w:szCs w:val="16"/>
        </w:rPr>
      </w:pPr>
    </w:p>
    <w:p w:rsidR="00EA3EA2" w:rsidRDefault="00EA3EA2" w:rsidP="00EA3EA2">
      <w:pPr>
        <w:pStyle w:val="normal0"/>
        <w:jc w:val="center"/>
        <w:rPr>
          <w:rFonts w:ascii="Calibri" w:eastAsia="Calibri" w:hAnsi="Calibri" w:cs="Calibri"/>
          <w:b/>
          <w:sz w:val="24"/>
          <w:szCs w:val="24"/>
        </w:rPr>
      </w:pPr>
      <w:r>
        <w:rPr>
          <w:rFonts w:ascii="Calibri" w:eastAsia="Calibri" w:hAnsi="Calibri" w:cs="Calibri"/>
          <w:b/>
          <w:sz w:val="24"/>
          <w:szCs w:val="24"/>
        </w:rPr>
        <w:t xml:space="preserve">Criterion #1—Focus: </w:t>
      </w:r>
      <w:r>
        <w:rPr>
          <w:rFonts w:ascii="Calibri" w:eastAsia="Calibri" w:hAnsi="Calibri" w:cs="Calibri"/>
          <w:b/>
          <w:sz w:val="24"/>
          <w:szCs w:val="24"/>
          <w:highlight w:val="white"/>
        </w:rPr>
        <w:t>Does the resource focus strongly where the standards focus</w:t>
      </w:r>
      <w:r>
        <w:rPr>
          <w:rFonts w:ascii="Calibri" w:eastAsia="Calibri" w:hAnsi="Calibri" w:cs="Calibri"/>
          <w:b/>
          <w:sz w:val="24"/>
          <w:szCs w:val="24"/>
        </w:rPr>
        <w:t>, including relevant Standards for Mathematical Practice?</w:t>
      </w:r>
    </w:p>
    <w:p w:rsidR="00EA3EA2" w:rsidRPr="00EA3EA2" w:rsidRDefault="00EA3EA2" w:rsidP="00EA3EA2">
      <w:pPr>
        <w:rPr>
          <w:rFonts w:ascii="Times" w:hAnsi="Times"/>
          <w:sz w:val="20"/>
          <w:szCs w:val="20"/>
        </w:rPr>
      </w:pPr>
    </w:p>
    <w:tbl>
      <w:tblPr>
        <w:tblW w:w="0" w:type="auto"/>
        <w:tblCellMar>
          <w:top w:w="15" w:type="dxa"/>
          <w:left w:w="15" w:type="dxa"/>
          <w:bottom w:w="15" w:type="dxa"/>
          <w:right w:w="15" w:type="dxa"/>
        </w:tblCellMar>
        <w:tblLook w:val="0000"/>
      </w:tblPr>
      <w:tblGrid>
        <w:gridCol w:w="5130"/>
        <w:gridCol w:w="5510"/>
      </w:tblGrid>
      <w:tr w:rsidR="00EA3EA2" w:rsidRPr="00EA3EA2" w:rsidTr="00EA3EA2">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1.1</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Major Work of the Level (MWOTL):</w:t>
            </w:r>
            <w:r w:rsidRPr="00EA3EA2">
              <w:rPr>
                <w:rFonts w:ascii="Calibri" w:hAnsi="Calibri" w:cs="Times New Roman"/>
                <w:color w:val="000000"/>
              </w:rPr>
              <w:t xml:space="preserve"> </w:t>
            </w:r>
            <w:r w:rsidRPr="00EA3EA2">
              <w:rPr>
                <w:rFonts w:ascii="Calibri" w:hAnsi="Calibri" w:cs="Times New Roman"/>
                <w:i/>
                <w:iCs/>
                <w:color w:val="000000"/>
              </w:rPr>
              <w:t>Most</w:t>
            </w:r>
            <w:r w:rsidRPr="00EA3EA2">
              <w:rPr>
                <w:rFonts w:ascii="Calibri" w:hAnsi="Calibri" w:cs="Times New Roman"/>
                <w:color w:val="000000"/>
              </w:rPr>
              <w:t xml:space="preserve"> of the resource is focused on the most critical concepts for that level. </w:t>
            </w:r>
            <w:r w:rsidRPr="00EA3EA2">
              <w:rPr>
                <w:rFonts w:ascii="Calibri" w:hAnsi="Calibri" w:cs="Times New Roman"/>
                <w:i/>
                <w:iCs/>
                <w:color w:val="000000"/>
              </w:rPr>
              <w:t>(Support document: CCR Content Progressions or Major Works of the Level)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1.2</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proofErr w:type="gramStart"/>
            <w:r w:rsidRPr="00EA3EA2">
              <w:rPr>
                <w:rFonts w:ascii="Calibri" w:hAnsi="Calibri" w:cs="Times New Roman"/>
                <w:b/>
                <w:bCs/>
                <w:color w:val="000000"/>
              </w:rPr>
              <w:t>Standards for Mathematical Practice:</w:t>
            </w:r>
            <w:r w:rsidRPr="00EA3EA2">
              <w:rPr>
                <w:rFonts w:ascii="Calibri" w:hAnsi="Calibri" w:cs="Times New Roman"/>
                <w:b/>
                <w:bCs/>
                <w:i/>
                <w:iCs/>
                <w:color w:val="000000"/>
              </w:rPr>
              <w:t xml:space="preserve"> </w:t>
            </w:r>
            <w:r w:rsidRPr="00EA3EA2">
              <w:rPr>
                <w:rFonts w:ascii="Calibri" w:hAnsi="Calibri" w:cs="Times New Roman"/>
                <w:i/>
                <w:iCs/>
                <w:color w:val="000000"/>
              </w:rPr>
              <w:t>Each</w:t>
            </w:r>
            <w:r w:rsidRPr="00EA3EA2">
              <w:rPr>
                <w:rFonts w:ascii="Calibri" w:hAnsi="Calibri" w:cs="Times New Roman"/>
                <w:color w:val="000000"/>
              </w:rPr>
              <w:t xml:space="preserve"> unit meaningfully connects</w:t>
            </w:r>
            <w:proofErr w:type="gramEnd"/>
            <w:r w:rsidRPr="00EA3EA2">
              <w:rPr>
                <w:rFonts w:ascii="Calibri" w:hAnsi="Calibri" w:cs="Times New Roman"/>
                <w:color w:val="000000"/>
              </w:rPr>
              <w:t xml:space="preserve"> mathematical content with the Standards for Mathematical Practice. </w:t>
            </w:r>
            <w:r w:rsidRPr="00EA3EA2">
              <w:rPr>
                <w:rFonts w:ascii="Calibri" w:hAnsi="Calibri" w:cs="Times New Roman"/>
                <w:i/>
                <w:iCs/>
                <w:color w:val="000000"/>
              </w:rPr>
              <w:t>(Support document: Standards for Mathematical Practice)</w:t>
            </w:r>
          </w:p>
        </w:tc>
      </w:tr>
      <w:tr w:rsidR="00EA3EA2" w:rsidRPr="00EA3EA2" w:rsidTr="00EA3EA2">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Resource Criterion Rating</w:t>
            </w:r>
            <w:r w:rsidRPr="00EA3EA2">
              <w:rPr>
                <w:rFonts w:ascii="Calibri" w:hAnsi="Calibri" w:cs="Times New Roman"/>
                <w:color w:val="000000"/>
                <w:sz w:val="14"/>
                <w:szCs w:val="14"/>
                <w:vertAlign w:val="superscript"/>
              </w:rPr>
              <w:t>1</w:t>
            </w:r>
            <w:proofErr w:type="gramStart"/>
            <w:r w:rsidRPr="00EA3EA2">
              <w:rPr>
                <w:rFonts w:ascii="Calibri" w:hAnsi="Calibri" w:cs="Times New Roman"/>
                <w:color w:val="000000"/>
              </w:rPr>
              <w:t>:            Strong</w:t>
            </w:r>
            <w:proofErr w:type="gramEnd"/>
            <w:r w:rsidRPr="00EA3EA2">
              <w:rPr>
                <w:rFonts w:ascii="Calibri" w:hAnsi="Calibri" w:cs="Times New Roman"/>
                <w:color w:val="000000"/>
              </w:rPr>
              <w:t xml:space="preserve">        </w:t>
            </w:r>
            <w:r w:rsidRPr="00EA3EA2">
              <w:rPr>
                <w:rFonts w:ascii="STIXGeneral-Regular" w:hAnsi="STIXGeneral-Regular" w:cs="STIXGeneral-Regular"/>
                <w:color w:val="000000"/>
              </w:rPr>
              <w:t>⃞</w:t>
            </w:r>
            <w:r w:rsidRPr="00EA3EA2">
              <w:rPr>
                <w:rFonts w:ascii="Calibri" w:hAnsi="Calibri" w:cs="Times New Roman"/>
                <w:color w:val="000000"/>
              </w:rPr>
              <w:t xml:space="preserve">               Modifications Necessary        </w:t>
            </w:r>
            <w:r w:rsidRPr="00EA3EA2">
              <w:rPr>
                <w:rFonts w:ascii="STIXGeneral-Regular" w:hAnsi="STIXGeneral-Regular" w:cs="STIXGeneral-Regular"/>
                <w:color w:val="000000"/>
              </w:rPr>
              <w:t>⃞</w:t>
            </w:r>
            <w:r w:rsidRPr="00EA3EA2">
              <w:rPr>
                <w:rFonts w:ascii="Calibri" w:hAnsi="Calibri" w:cs="Times New Roman"/>
                <w:color w:val="000000"/>
              </w:rPr>
              <w:t xml:space="preserve">                Weak        </w:t>
            </w:r>
            <w:r w:rsidRPr="00EA3EA2">
              <w:rPr>
                <w:rFonts w:ascii="STIXGeneral-Regular" w:hAnsi="STIXGeneral-Regular" w:cs="STIXGeneral-Regular"/>
                <w:color w:val="000000"/>
              </w:rPr>
              <w:t>⃞</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color w:val="000000"/>
              </w:rPr>
              <w:t>High-value actions needed to fill the gaps:</w:t>
            </w:r>
          </w:p>
          <w:p w:rsidR="00EA3EA2" w:rsidRPr="00EA3EA2" w:rsidRDefault="00EA3EA2" w:rsidP="00EA3EA2">
            <w:pPr>
              <w:numPr>
                <w:ilvl w:val="0"/>
                <w:numId w:val="1"/>
              </w:numPr>
              <w:textAlignment w:val="baseline"/>
              <w:rPr>
                <w:rFonts w:ascii="Arial" w:hAnsi="Arial" w:cs="Times New Roman"/>
                <w:color w:val="000000"/>
              </w:rPr>
            </w:pPr>
            <w:r w:rsidRPr="00EA3EA2">
              <w:rPr>
                <w:rFonts w:ascii="Calibri" w:hAnsi="Calibri" w:cs="Times New Roman"/>
                <w:color w:val="000000"/>
              </w:rPr>
              <w:t xml:space="preserve">Identify supplemental resources to address </w:t>
            </w:r>
            <w:proofErr w:type="spellStart"/>
            <w:r w:rsidRPr="00EA3EA2">
              <w:rPr>
                <w:rFonts w:ascii="Calibri" w:hAnsi="Calibri" w:cs="Times New Roman"/>
                <w:color w:val="000000"/>
              </w:rPr>
              <w:t>MWOTLs</w:t>
            </w:r>
            <w:proofErr w:type="spellEnd"/>
            <w:r w:rsidRPr="00EA3EA2">
              <w:rPr>
                <w:rFonts w:ascii="Calibri" w:hAnsi="Calibri" w:cs="Times New Roman"/>
                <w:color w:val="000000"/>
              </w:rPr>
              <w:t xml:space="preserve"> not well represented by the evaluated resource.</w:t>
            </w:r>
          </w:p>
          <w:p w:rsidR="00EA3EA2" w:rsidRPr="00EA3EA2" w:rsidRDefault="00EA3EA2" w:rsidP="00EA3EA2">
            <w:pPr>
              <w:numPr>
                <w:ilvl w:val="0"/>
                <w:numId w:val="1"/>
              </w:numPr>
              <w:textAlignment w:val="baseline"/>
              <w:rPr>
                <w:rFonts w:ascii="Arial" w:hAnsi="Arial" w:cs="Times New Roman"/>
                <w:color w:val="000000"/>
              </w:rPr>
            </w:pPr>
            <w:r w:rsidRPr="00EA3EA2">
              <w:rPr>
                <w:rFonts w:ascii="Calibri" w:hAnsi="Calibri" w:cs="Times New Roman"/>
                <w:color w:val="000000"/>
              </w:rPr>
              <w:t>Supplement existing problems with additional on-level work tied to the MWOTL.</w:t>
            </w:r>
          </w:p>
          <w:p w:rsidR="00EA3EA2" w:rsidRPr="00EA3EA2" w:rsidRDefault="00EA3EA2" w:rsidP="00EA3EA2">
            <w:pPr>
              <w:numPr>
                <w:ilvl w:val="0"/>
                <w:numId w:val="1"/>
              </w:numPr>
              <w:textAlignment w:val="baseline"/>
              <w:rPr>
                <w:rFonts w:ascii="Arial" w:hAnsi="Arial" w:cs="Times New Roman"/>
                <w:color w:val="000000"/>
              </w:rPr>
            </w:pPr>
            <w:r w:rsidRPr="00EA3EA2">
              <w:rPr>
                <w:rFonts w:ascii="Calibri" w:hAnsi="Calibri" w:cs="Times New Roman"/>
                <w:color w:val="000000"/>
              </w:rPr>
              <w:t>Identify and add Standards for Mathematical Practice that are central to a unit (or reduce the number that are addressed) and include a description of how they are related.</w:t>
            </w:r>
          </w:p>
          <w:p w:rsidR="00EA3EA2" w:rsidRPr="00EA3EA2" w:rsidRDefault="00EA3EA2" w:rsidP="00EA3EA2">
            <w:pPr>
              <w:numPr>
                <w:ilvl w:val="0"/>
                <w:numId w:val="1"/>
              </w:numPr>
              <w:textAlignment w:val="baseline"/>
              <w:rPr>
                <w:rFonts w:ascii="Calibri" w:hAnsi="Calibri" w:cs="Times New Roman"/>
                <w:color w:val="000000"/>
              </w:rPr>
            </w:pPr>
            <w:r w:rsidRPr="00EA3EA2">
              <w:rPr>
                <w:rFonts w:ascii="Calibri" w:hAnsi="Calibri" w:cs="Times New Roman"/>
                <w:color w:val="000000"/>
              </w:rPr>
              <w:t>Modify or add student tasks or activities to help support the development of the Standards for Mathematical Practice.</w:t>
            </w:r>
          </w:p>
          <w:p w:rsidR="00EA3EA2" w:rsidRPr="00EA3EA2" w:rsidRDefault="00EA3EA2" w:rsidP="00EA3EA2">
            <w:pPr>
              <w:numPr>
                <w:ilvl w:val="0"/>
                <w:numId w:val="1"/>
              </w:numPr>
              <w:textAlignment w:val="baseline"/>
              <w:rPr>
                <w:rFonts w:ascii="Arial" w:hAnsi="Arial" w:cs="Times New Roman"/>
                <w:color w:val="000000"/>
              </w:rPr>
            </w:pPr>
            <w:r w:rsidRPr="00EA3EA2">
              <w:rPr>
                <w:rFonts w:ascii="Calibri" w:hAnsi="Calibri" w:cs="Times New Roman"/>
                <w:color w:val="000000"/>
              </w:rPr>
              <w:t>Other:</w:t>
            </w:r>
          </w:p>
          <w:p w:rsidR="00EA3EA2" w:rsidRPr="00EA3EA2" w:rsidRDefault="00EA3EA2" w:rsidP="00EA3EA2">
            <w:pPr>
              <w:spacing w:after="240"/>
              <w:rPr>
                <w:rFonts w:ascii="Times" w:hAnsi="Times"/>
                <w:sz w:val="20"/>
                <w:szCs w:val="20"/>
              </w:rPr>
            </w:pPr>
          </w:p>
          <w:p w:rsidR="00EA3EA2" w:rsidRPr="00EA3EA2" w:rsidRDefault="00EA3EA2" w:rsidP="00EA3EA2">
            <w:pPr>
              <w:numPr>
                <w:ilvl w:val="0"/>
                <w:numId w:val="2"/>
              </w:numPr>
              <w:textAlignment w:val="baseline"/>
              <w:rPr>
                <w:rFonts w:ascii="Calibri" w:hAnsi="Calibri" w:cs="Times New Roman"/>
                <w:color w:val="000000"/>
              </w:rPr>
            </w:pPr>
            <w:r w:rsidRPr="00EA3EA2">
              <w:rPr>
                <w:rFonts w:ascii="Calibri" w:hAnsi="Calibri" w:cs="Times New Roman"/>
                <w:color w:val="000000"/>
              </w:rPr>
              <w:t>Additional notes on above actions:</w:t>
            </w:r>
          </w:p>
          <w:p w:rsidR="00EA3EA2" w:rsidRPr="00EA3EA2" w:rsidRDefault="00EA3EA2" w:rsidP="00EA3EA2">
            <w:pPr>
              <w:spacing w:after="240"/>
              <w:rPr>
                <w:rFonts w:ascii="Times" w:hAnsi="Times"/>
                <w:sz w:val="20"/>
                <w:szCs w:val="20"/>
              </w:rPr>
            </w:pP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p>
        </w:tc>
      </w:tr>
    </w:tbl>
    <w:p w:rsidR="00EA3EA2" w:rsidRPr="00EA3EA2" w:rsidRDefault="00EA3EA2" w:rsidP="00EA3EA2">
      <w:pPr>
        <w:rPr>
          <w:rFonts w:ascii="Times" w:hAnsi="Times"/>
          <w:sz w:val="20"/>
          <w:szCs w:val="2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Pr="00EA3EA2" w:rsidRDefault="00EA3EA2" w:rsidP="00EA3EA2">
      <w:pPr>
        <w:jc w:val="center"/>
        <w:rPr>
          <w:rFonts w:ascii="Times" w:hAnsi="Times" w:cs="Times New Roman"/>
          <w:sz w:val="20"/>
          <w:szCs w:val="20"/>
        </w:rPr>
      </w:pPr>
      <w:r w:rsidRPr="00EA3EA2">
        <w:rPr>
          <w:rFonts w:ascii="Calibri" w:hAnsi="Calibri" w:cs="Times New Roman"/>
          <w:b/>
          <w:bCs/>
          <w:color w:val="000000"/>
        </w:rPr>
        <w:t>Criterion #2—</w:t>
      </w:r>
      <w:r w:rsidRPr="00EA3EA2">
        <w:rPr>
          <w:rFonts w:ascii="Calibri" w:hAnsi="Calibri" w:cs="Times New Roman"/>
          <w:b/>
          <w:bCs/>
          <w:color w:val="000000"/>
          <w:u w:val="single"/>
        </w:rPr>
        <w:t>Rigor</w:t>
      </w:r>
      <w:r w:rsidRPr="00EA3EA2">
        <w:rPr>
          <w:rFonts w:ascii="Calibri" w:hAnsi="Calibri" w:cs="Times New Roman"/>
          <w:b/>
          <w:bCs/>
          <w:color w:val="000000"/>
        </w:rPr>
        <w:t>: Does the resource pursue conceptual understanding, procedural skill and fluency, and application with equal intensity?</w:t>
      </w:r>
    </w:p>
    <w:p w:rsidR="00EA3EA2" w:rsidRPr="00EA3EA2" w:rsidRDefault="00EA3EA2" w:rsidP="00EA3EA2">
      <w:pPr>
        <w:rPr>
          <w:rFonts w:ascii="Times" w:hAnsi="Times"/>
          <w:sz w:val="20"/>
          <w:szCs w:val="20"/>
        </w:rPr>
      </w:pPr>
    </w:p>
    <w:tbl>
      <w:tblPr>
        <w:tblW w:w="0" w:type="auto"/>
        <w:tblCellMar>
          <w:top w:w="15" w:type="dxa"/>
          <w:left w:w="15" w:type="dxa"/>
          <w:bottom w:w="15" w:type="dxa"/>
          <w:right w:w="15" w:type="dxa"/>
        </w:tblCellMar>
        <w:tblLook w:val="0000"/>
      </w:tblPr>
      <w:tblGrid>
        <w:gridCol w:w="3866"/>
        <w:gridCol w:w="2801"/>
        <w:gridCol w:w="3973"/>
      </w:tblGrid>
      <w:tr w:rsidR="00EA3EA2" w:rsidRPr="00EA3EA2" w:rsidTr="00EA3EA2">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2.1</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b/>
                <w:bCs/>
                <w:color w:val="000000"/>
              </w:rPr>
              <w:t>Conceptual Understanding:</w:t>
            </w:r>
            <w:r w:rsidRPr="00EA3EA2">
              <w:rPr>
                <w:rFonts w:ascii="Calibri" w:hAnsi="Calibri" w:cs="Times New Roman"/>
                <w:color w:val="000000"/>
              </w:rPr>
              <w:t xml:space="preserve"> The resource </w:t>
            </w:r>
            <w:r w:rsidRPr="00EA3EA2">
              <w:rPr>
                <w:rFonts w:ascii="Calibri" w:hAnsi="Calibri" w:cs="Times New Roman"/>
                <w:i/>
                <w:iCs/>
                <w:color w:val="000000"/>
              </w:rPr>
              <w:t xml:space="preserve">regularly </w:t>
            </w:r>
            <w:r w:rsidRPr="00EA3EA2">
              <w:rPr>
                <w:rFonts w:ascii="Calibri" w:hAnsi="Calibri" w:cs="Times New Roman"/>
                <w:color w:val="000000"/>
              </w:rPr>
              <w:t xml:space="preserve">develops students’ conceptual understanding through tasks, problems, questions, multiple representations, and opportunities for students to </w:t>
            </w:r>
            <w:r w:rsidRPr="00EA3EA2">
              <w:rPr>
                <w:rFonts w:ascii="Calibri" w:hAnsi="Calibri" w:cs="Times New Roman"/>
                <w:i/>
                <w:iCs/>
                <w:color w:val="000000"/>
              </w:rPr>
              <w:t>write</w:t>
            </w:r>
            <w:r w:rsidRPr="00EA3EA2">
              <w:rPr>
                <w:rFonts w:ascii="Calibri" w:hAnsi="Calibri" w:cs="Times New Roman"/>
                <w:color w:val="000000"/>
              </w:rPr>
              <w:t xml:space="preserve"> and </w:t>
            </w:r>
            <w:r w:rsidRPr="00EA3EA2">
              <w:rPr>
                <w:rFonts w:ascii="Calibri" w:hAnsi="Calibri" w:cs="Times New Roman"/>
                <w:i/>
                <w:iCs/>
                <w:color w:val="000000"/>
              </w:rPr>
              <w:t>speak</w:t>
            </w:r>
            <w:r w:rsidRPr="00EA3EA2">
              <w:rPr>
                <w:rFonts w:ascii="Calibri" w:hAnsi="Calibri" w:cs="Times New Roman"/>
                <w:color w:val="000000"/>
              </w:rPr>
              <w:t xml:space="preserve"> about their understanding. </w:t>
            </w:r>
          </w:p>
          <w:p w:rsidR="00EA3EA2" w:rsidRPr="00EA3EA2" w:rsidRDefault="00EA3EA2" w:rsidP="00EA3EA2">
            <w:pPr>
              <w:spacing w:line="0" w:lineRule="atLeast"/>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2.2</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b/>
                <w:bCs/>
                <w:color w:val="000000"/>
              </w:rPr>
              <w:t>Procedural Skill and Fluency:</w:t>
            </w:r>
            <w:r w:rsidRPr="00EA3EA2">
              <w:rPr>
                <w:rFonts w:ascii="Calibri" w:hAnsi="Calibri" w:cs="Times New Roman"/>
                <w:color w:val="000000"/>
              </w:rPr>
              <w:t xml:space="preserve"> The resource </w:t>
            </w:r>
            <w:r w:rsidRPr="00EA3EA2">
              <w:rPr>
                <w:rFonts w:ascii="Calibri" w:hAnsi="Calibri" w:cs="Times New Roman"/>
                <w:i/>
                <w:iCs/>
                <w:color w:val="000000"/>
              </w:rPr>
              <w:t>regularly</w:t>
            </w:r>
            <w:r w:rsidRPr="00EA3EA2">
              <w:rPr>
                <w:rFonts w:ascii="Calibri" w:hAnsi="Calibri" w:cs="Times New Roman"/>
                <w:color w:val="000000"/>
              </w:rPr>
              <w:t xml:space="preserve"> asks students to perform calculations and use mathematical procedures quickly and accurately.</w:t>
            </w:r>
          </w:p>
          <w:p w:rsidR="00EA3EA2" w:rsidRPr="00EA3EA2" w:rsidRDefault="00EA3EA2" w:rsidP="00EA3EA2">
            <w:pPr>
              <w:spacing w:line="0" w:lineRule="atLeast"/>
              <w:rPr>
                <w:rFonts w:ascii="Times" w:hAnsi="Times"/>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2.3</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 xml:space="preserve">Application: </w:t>
            </w:r>
            <w:r w:rsidRPr="00EA3EA2">
              <w:rPr>
                <w:rFonts w:ascii="Calibri" w:hAnsi="Calibri" w:cs="Times New Roman"/>
                <w:color w:val="000000"/>
              </w:rPr>
              <w:t xml:space="preserve">The resource </w:t>
            </w:r>
            <w:r w:rsidRPr="00EA3EA2">
              <w:rPr>
                <w:rFonts w:ascii="Calibri" w:hAnsi="Calibri" w:cs="Times New Roman"/>
                <w:i/>
                <w:iCs/>
                <w:color w:val="000000"/>
              </w:rPr>
              <w:t xml:space="preserve">regularly </w:t>
            </w:r>
            <w:r w:rsidRPr="00EA3EA2">
              <w:rPr>
                <w:rFonts w:ascii="Calibri" w:hAnsi="Calibri" w:cs="Times New Roman"/>
                <w:color w:val="000000"/>
              </w:rPr>
              <w:t>provides opportunities for students to independently apply mathematical concepts in real-world situations and solve challenging problems with persistence, choosing and applying an appropriate model or strategy to new situations.</w:t>
            </w:r>
          </w:p>
        </w:tc>
      </w:tr>
      <w:tr w:rsidR="00EA3EA2" w:rsidRPr="00EA3EA2" w:rsidTr="00EA3EA2">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Resource Criterion Rating</w:t>
            </w:r>
            <w:r w:rsidRPr="00EA3EA2">
              <w:rPr>
                <w:rFonts w:ascii="Calibri" w:hAnsi="Calibri" w:cs="Times New Roman"/>
                <w:color w:val="000000"/>
                <w:sz w:val="14"/>
                <w:szCs w:val="14"/>
                <w:vertAlign w:val="superscript"/>
              </w:rPr>
              <w:t>1</w:t>
            </w:r>
            <w:proofErr w:type="gramStart"/>
            <w:r w:rsidRPr="00EA3EA2">
              <w:rPr>
                <w:rFonts w:ascii="Calibri" w:hAnsi="Calibri" w:cs="Times New Roman"/>
                <w:color w:val="000000"/>
              </w:rPr>
              <w:t>:            Strong</w:t>
            </w:r>
            <w:proofErr w:type="gramEnd"/>
            <w:r w:rsidRPr="00EA3EA2">
              <w:rPr>
                <w:rFonts w:ascii="Calibri" w:hAnsi="Calibri" w:cs="Times New Roman"/>
                <w:color w:val="000000"/>
              </w:rPr>
              <w:t xml:space="preserve">        </w:t>
            </w:r>
            <w:r w:rsidRPr="00EA3EA2">
              <w:rPr>
                <w:rFonts w:ascii="STIXGeneral-Regular" w:hAnsi="STIXGeneral-Regular" w:cs="STIXGeneral-Regular"/>
                <w:color w:val="000000"/>
              </w:rPr>
              <w:t>⃞</w:t>
            </w:r>
            <w:r w:rsidRPr="00EA3EA2">
              <w:rPr>
                <w:rFonts w:ascii="Calibri" w:hAnsi="Calibri" w:cs="Times New Roman"/>
                <w:color w:val="000000"/>
              </w:rPr>
              <w:t xml:space="preserve">           Modifications Necessary        </w:t>
            </w:r>
            <w:r w:rsidRPr="00EA3EA2">
              <w:rPr>
                <w:rFonts w:ascii="STIXGeneral-Regular" w:hAnsi="STIXGeneral-Regular" w:cs="STIXGeneral-Regular"/>
                <w:color w:val="000000"/>
              </w:rPr>
              <w:t>⃞</w:t>
            </w:r>
            <w:r w:rsidRPr="00EA3EA2">
              <w:rPr>
                <w:rFonts w:ascii="Calibri" w:hAnsi="Calibri" w:cs="Times New Roman"/>
                <w:color w:val="000000"/>
              </w:rPr>
              <w:t xml:space="preserve">                Weak        </w:t>
            </w:r>
            <w:r w:rsidRPr="00EA3EA2">
              <w:rPr>
                <w:rFonts w:ascii="STIXGeneral-Regular" w:hAnsi="STIXGeneral-Regular" w:cs="STIXGeneral-Regular"/>
                <w:color w:val="000000"/>
              </w:rPr>
              <w:t>⃞</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color w:val="000000"/>
              </w:rPr>
              <w:t>High-value actions needed to fill the gaps:</w:t>
            </w:r>
          </w:p>
          <w:p w:rsidR="00EA3EA2" w:rsidRPr="00EA3EA2" w:rsidRDefault="00EA3EA2" w:rsidP="00EA3EA2">
            <w:pPr>
              <w:numPr>
                <w:ilvl w:val="0"/>
                <w:numId w:val="3"/>
              </w:numPr>
              <w:textAlignment w:val="baseline"/>
              <w:rPr>
                <w:rFonts w:ascii="Calibri" w:hAnsi="Calibri" w:cs="Times New Roman"/>
                <w:color w:val="000000"/>
              </w:rPr>
            </w:pPr>
            <w:r w:rsidRPr="00EA3EA2">
              <w:rPr>
                <w:rFonts w:ascii="Calibri" w:hAnsi="Calibri" w:cs="Times New Roman"/>
                <w:color w:val="000000"/>
              </w:rPr>
              <w:t>Add problems or tasks that are good matches to the standards targeted in lesson(s) or units and that focus on the following areas:</w:t>
            </w:r>
          </w:p>
          <w:p w:rsidR="00EA3EA2" w:rsidRPr="00EA3EA2" w:rsidRDefault="00EA3EA2" w:rsidP="00EA3EA2">
            <w:pPr>
              <w:numPr>
                <w:ilvl w:val="1"/>
                <w:numId w:val="4"/>
              </w:numPr>
              <w:textAlignment w:val="baseline"/>
              <w:rPr>
                <w:rFonts w:ascii="Calibri" w:hAnsi="Calibri" w:cs="Times New Roman"/>
                <w:color w:val="000000"/>
              </w:rPr>
            </w:pPr>
            <w:r w:rsidRPr="00EA3EA2">
              <w:rPr>
                <w:rFonts w:ascii="Calibri" w:hAnsi="Calibri" w:cs="Times New Roman"/>
                <w:color w:val="000000"/>
              </w:rPr>
              <w:t>Conceptual understanding of the MWOTL</w:t>
            </w:r>
          </w:p>
          <w:p w:rsidR="00EA3EA2" w:rsidRPr="00EA3EA2" w:rsidRDefault="00EA3EA2" w:rsidP="00EA3EA2">
            <w:pPr>
              <w:numPr>
                <w:ilvl w:val="1"/>
                <w:numId w:val="4"/>
              </w:numPr>
              <w:textAlignment w:val="baseline"/>
              <w:rPr>
                <w:rFonts w:ascii="Calibri" w:hAnsi="Calibri" w:cs="Times New Roman"/>
                <w:color w:val="000000"/>
              </w:rPr>
            </w:pPr>
            <w:r w:rsidRPr="00EA3EA2">
              <w:rPr>
                <w:rFonts w:ascii="Calibri" w:hAnsi="Calibri" w:cs="Times New Roman"/>
                <w:color w:val="000000"/>
              </w:rPr>
              <w:t>Procedural and computational practice</w:t>
            </w:r>
          </w:p>
          <w:p w:rsidR="00EA3EA2" w:rsidRPr="00EA3EA2" w:rsidRDefault="00EA3EA2" w:rsidP="00EA3EA2">
            <w:pPr>
              <w:numPr>
                <w:ilvl w:val="1"/>
                <w:numId w:val="4"/>
              </w:numPr>
              <w:textAlignment w:val="baseline"/>
              <w:rPr>
                <w:rFonts w:ascii="Calibri" w:hAnsi="Calibri" w:cs="Times New Roman"/>
                <w:color w:val="000000"/>
              </w:rPr>
            </w:pPr>
            <w:r w:rsidRPr="00EA3EA2">
              <w:rPr>
                <w:rFonts w:ascii="Calibri" w:hAnsi="Calibri" w:cs="Times New Roman"/>
                <w:color w:val="000000"/>
              </w:rPr>
              <w:t>Challenging application problems</w:t>
            </w:r>
          </w:p>
          <w:p w:rsidR="00EA3EA2" w:rsidRPr="00EA3EA2" w:rsidRDefault="00EA3EA2" w:rsidP="00EA3EA2">
            <w:pPr>
              <w:numPr>
                <w:ilvl w:val="0"/>
                <w:numId w:val="4"/>
              </w:numPr>
              <w:textAlignment w:val="baseline"/>
              <w:rPr>
                <w:rFonts w:ascii="Calibri" w:hAnsi="Calibri" w:cs="Times New Roman"/>
                <w:color w:val="000000"/>
              </w:rPr>
            </w:pPr>
            <w:r w:rsidRPr="00EA3EA2">
              <w:rPr>
                <w:rFonts w:ascii="Calibri" w:hAnsi="Calibri" w:cs="Times New Roman"/>
                <w:color w:val="000000"/>
              </w:rPr>
              <w:t>Add high-level discussion questions and instructions targeted toward building conceptual understanding.</w:t>
            </w:r>
          </w:p>
          <w:p w:rsidR="00EA3EA2" w:rsidRPr="00EA3EA2" w:rsidRDefault="00EA3EA2" w:rsidP="00EA3EA2">
            <w:pPr>
              <w:numPr>
                <w:ilvl w:val="0"/>
                <w:numId w:val="4"/>
              </w:numPr>
              <w:textAlignment w:val="baseline"/>
              <w:rPr>
                <w:rFonts w:ascii="Calibri" w:hAnsi="Calibri" w:cs="Times New Roman"/>
                <w:color w:val="000000"/>
              </w:rPr>
            </w:pPr>
            <w:r w:rsidRPr="00EA3EA2">
              <w:rPr>
                <w:rFonts w:ascii="Calibri" w:hAnsi="Calibri" w:cs="Times New Roman"/>
                <w:color w:val="000000"/>
              </w:rPr>
              <w:t xml:space="preserve">Add opportunities for students to build the capacity to complete mathematical procedures quickly and accurately. </w:t>
            </w:r>
          </w:p>
          <w:p w:rsidR="00EA3EA2" w:rsidRPr="00EA3EA2" w:rsidRDefault="00EA3EA2" w:rsidP="00EA3EA2">
            <w:pPr>
              <w:numPr>
                <w:ilvl w:val="0"/>
                <w:numId w:val="4"/>
              </w:numPr>
              <w:textAlignment w:val="baseline"/>
              <w:rPr>
                <w:rFonts w:ascii="Calibri" w:hAnsi="Calibri" w:cs="Times New Roman"/>
                <w:color w:val="000000"/>
              </w:rPr>
            </w:pPr>
            <w:r w:rsidRPr="00EA3EA2">
              <w:rPr>
                <w:rFonts w:ascii="Calibri" w:hAnsi="Calibri" w:cs="Times New Roman"/>
                <w:color w:val="000000"/>
              </w:rPr>
              <w:t>Add authentic real-world application problems and tasks.</w:t>
            </w:r>
          </w:p>
          <w:p w:rsidR="00EA3EA2" w:rsidRPr="00EA3EA2" w:rsidRDefault="00EA3EA2" w:rsidP="00EA3EA2">
            <w:pPr>
              <w:numPr>
                <w:ilvl w:val="0"/>
                <w:numId w:val="4"/>
              </w:numPr>
              <w:textAlignment w:val="baseline"/>
              <w:rPr>
                <w:rFonts w:ascii="Calibri" w:hAnsi="Calibri" w:cs="Times New Roman"/>
                <w:color w:val="000000"/>
              </w:rPr>
            </w:pPr>
            <w:r w:rsidRPr="00EA3EA2">
              <w:rPr>
                <w:rFonts w:ascii="Calibri" w:hAnsi="Calibri" w:cs="Times New Roman"/>
                <w:color w:val="000000"/>
              </w:rPr>
              <w:t>Other:</w:t>
            </w:r>
          </w:p>
          <w:p w:rsidR="00EA3EA2" w:rsidRPr="00EA3EA2" w:rsidRDefault="00EA3EA2" w:rsidP="00EA3EA2">
            <w:pPr>
              <w:spacing w:after="240"/>
              <w:rPr>
                <w:rFonts w:ascii="Times" w:hAnsi="Times"/>
                <w:sz w:val="20"/>
                <w:szCs w:val="20"/>
              </w:rPr>
            </w:pPr>
          </w:p>
          <w:p w:rsidR="00EA3EA2" w:rsidRPr="00EA3EA2" w:rsidRDefault="00EA3EA2" w:rsidP="00EA3EA2">
            <w:pPr>
              <w:numPr>
                <w:ilvl w:val="0"/>
                <w:numId w:val="5"/>
              </w:numPr>
              <w:textAlignment w:val="baseline"/>
              <w:rPr>
                <w:rFonts w:ascii="Calibri" w:hAnsi="Calibri" w:cs="Times New Roman"/>
                <w:color w:val="000000"/>
              </w:rPr>
            </w:pPr>
            <w:r w:rsidRPr="00EA3EA2">
              <w:rPr>
                <w:rFonts w:ascii="Calibri" w:hAnsi="Calibri" w:cs="Times New Roman"/>
                <w:color w:val="000000"/>
              </w:rPr>
              <w:t>Additional notes on above actions:</w:t>
            </w:r>
          </w:p>
          <w:p w:rsidR="00EA3EA2" w:rsidRPr="00EA3EA2" w:rsidRDefault="00EA3EA2" w:rsidP="00EA3EA2">
            <w:pPr>
              <w:spacing w:after="240"/>
              <w:rPr>
                <w:rFonts w:ascii="Times" w:hAnsi="Times"/>
                <w:sz w:val="20"/>
                <w:szCs w:val="20"/>
              </w:rPr>
            </w:pP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p>
        </w:tc>
      </w:tr>
    </w:tbl>
    <w:p w:rsidR="00EA3EA2" w:rsidRPr="00EA3EA2" w:rsidRDefault="00EA3EA2" w:rsidP="00EA3EA2">
      <w:pPr>
        <w:spacing w:after="240"/>
        <w:rPr>
          <w:rFonts w:ascii="Times" w:hAnsi="Times"/>
          <w:sz w:val="20"/>
          <w:szCs w:val="20"/>
        </w:rPr>
      </w:pPr>
      <w:r w:rsidRPr="00EA3EA2">
        <w:rPr>
          <w:rFonts w:ascii="Times" w:hAnsi="Times"/>
          <w:sz w:val="20"/>
          <w:szCs w:val="20"/>
        </w:rPr>
        <w:br/>
      </w: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Pr="00EA3EA2" w:rsidRDefault="00EA3EA2" w:rsidP="00EA3EA2">
      <w:pPr>
        <w:jc w:val="center"/>
        <w:rPr>
          <w:rFonts w:ascii="Times" w:hAnsi="Times" w:cs="Times New Roman"/>
          <w:sz w:val="20"/>
          <w:szCs w:val="20"/>
        </w:rPr>
      </w:pPr>
      <w:r w:rsidRPr="00EA3EA2">
        <w:rPr>
          <w:rFonts w:ascii="Calibri" w:hAnsi="Calibri" w:cs="Times New Roman"/>
          <w:b/>
          <w:bCs/>
          <w:color w:val="000000"/>
        </w:rPr>
        <w:t>Criterion #3—</w:t>
      </w:r>
      <w:r w:rsidRPr="00EA3EA2">
        <w:rPr>
          <w:rFonts w:ascii="Calibri" w:hAnsi="Calibri" w:cs="Times New Roman"/>
          <w:b/>
          <w:bCs/>
          <w:color w:val="000000"/>
          <w:u w:val="single"/>
        </w:rPr>
        <w:t>Coherence</w:t>
      </w:r>
      <w:r w:rsidRPr="00EA3EA2">
        <w:rPr>
          <w:rFonts w:ascii="Calibri" w:hAnsi="Calibri" w:cs="Times New Roman"/>
          <w:b/>
          <w:bCs/>
          <w:color w:val="000000"/>
        </w:rPr>
        <w:t>: Does the resource design learning around coherent progressions between levels and within the level?</w:t>
      </w:r>
    </w:p>
    <w:p w:rsidR="00EA3EA2" w:rsidRPr="00EA3EA2" w:rsidRDefault="00EA3EA2" w:rsidP="00EA3EA2">
      <w:pPr>
        <w:rPr>
          <w:rFonts w:ascii="Times" w:hAnsi="Times"/>
          <w:sz w:val="20"/>
          <w:szCs w:val="20"/>
        </w:rPr>
      </w:pPr>
    </w:p>
    <w:tbl>
      <w:tblPr>
        <w:tblW w:w="0" w:type="auto"/>
        <w:tblCellMar>
          <w:top w:w="15" w:type="dxa"/>
          <w:left w:w="15" w:type="dxa"/>
          <w:bottom w:w="15" w:type="dxa"/>
          <w:right w:w="15" w:type="dxa"/>
        </w:tblCellMar>
        <w:tblLook w:val="0000"/>
      </w:tblPr>
      <w:tblGrid>
        <w:gridCol w:w="5043"/>
        <w:gridCol w:w="5597"/>
      </w:tblGrid>
      <w:tr w:rsidR="00EA3EA2" w:rsidRPr="00EA3EA2" w:rsidTr="00EA3EA2">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3.1</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 xml:space="preserve">Coherence </w:t>
            </w:r>
            <w:r w:rsidRPr="00EA3EA2">
              <w:rPr>
                <w:rFonts w:ascii="Calibri" w:hAnsi="Calibri" w:cs="Times New Roman"/>
                <w:b/>
                <w:bCs/>
                <w:color w:val="000000"/>
                <w:u w:val="single"/>
              </w:rPr>
              <w:t>Across</w:t>
            </w:r>
            <w:r w:rsidRPr="00EA3EA2">
              <w:rPr>
                <w:rFonts w:ascii="Calibri" w:hAnsi="Calibri" w:cs="Times New Roman"/>
                <w:b/>
                <w:bCs/>
                <w:color w:val="000000"/>
              </w:rPr>
              <w:t xml:space="preserve"> Levels:</w:t>
            </w:r>
            <w:r w:rsidRPr="00EA3EA2">
              <w:rPr>
                <w:rFonts w:ascii="Calibri" w:hAnsi="Calibri" w:cs="Times New Roman"/>
                <w:i/>
                <w:iCs/>
                <w:color w:val="000000"/>
              </w:rPr>
              <w:t xml:space="preserve"> </w:t>
            </w:r>
            <w:r w:rsidRPr="00EA3EA2">
              <w:rPr>
                <w:rFonts w:ascii="Calibri" w:hAnsi="Calibri" w:cs="Times New Roman"/>
                <w:color w:val="000000"/>
              </w:rPr>
              <w:t xml:space="preserve">The resource </w:t>
            </w:r>
            <w:r w:rsidRPr="00EA3EA2">
              <w:rPr>
                <w:rFonts w:ascii="Calibri" w:hAnsi="Calibri" w:cs="Times New Roman"/>
                <w:i/>
                <w:iCs/>
                <w:color w:val="000000"/>
              </w:rPr>
              <w:t>regularly</w:t>
            </w:r>
            <w:r w:rsidRPr="00EA3EA2">
              <w:rPr>
                <w:rFonts w:ascii="Calibri" w:hAnsi="Calibri" w:cs="Times New Roman"/>
                <w:color w:val="000000"/>
              </w:rPr>
              <w:t xml:space="preserve"> relates on-level concepts to knowledge from previous levels and to future learning. </w:t>
            </w:r>
            <w:r w:rsidRPr="00EA3EA2">
              <w:rPr>
                <w:rFonts w:ascii="Calibri" w:hAnsi="Calibri" w:cs="Times New Roman"/>
                <w:i/>
                <w:iCs/>
                <w:color w:val="000000"/>
              </w:rPr>
              <w:t>(Support document: CCR Content Progressions)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3.2</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 xml:space="preserve">Coherence </w:t>
            </w:r>
            <w:r w:rsidRPr="00EA3EA2">
              <w:rPr>
                <w:rFonts w:ascii="Calibri" w:hAnsi="Calibri" w:cs="Times New Roman"/>
                <w:b/>
                <w:bCs/>
                <w:color w:val="000000"/>
                <w:u w:val="single"/>
              </w:rPr>
              <w:t>Within</w:t>
            </w:r>
            <w:r w:rsidRPr="00EA3EA2">
              <w:rPr>
                <w:rFonts w:ascii="Calibri" w:hAnsi="Calibri" w:cs="Times New Roman"/>
                <w:b/>
                <w:bCs/>
                <w:color w:val="000000"/>
              </w:rPr>
              <w:t xml:space="preserve"> a Level:</w:t>
            </w:r>
            <w:r w:rsidRPr="00EA3EA2">
              <w:rPr>
                <w:rFonts w:ascii="Calibri" w:hAnsi="Calibri" w:cs="Times New Roman"/>
                <w:i/>
                <w:iCs/>
                <w:color w:val="000000"/>
              </w:rPr>
              <w:t xml:space="preserve"> </w:t>
            </w:r>
            <w:r w:rsidRPr="00EA3EA2">
              <w:rPr>
                <w:rFonts w:ascii="Calibri" w:hAnsi="Calibri" w:cs="Times New Roman"/>
                <w:color w:val="000000"/>
              </w:rPr>
              <w:t xml:space="preserve">Where appropriate, the resource connects two or more standards within a progression, or two or more progressions within a level. </w:t>
            </w:r>
            <w:r w:rsidRPr="00EA3EA2">
              <w:rPr>
                <w:rFonts w:ascii="Calibri" w:hAnsi="Calibri" w:cs="Times New Roman"/>
                <w:i/>
                <w:iCs/>
                <w:color w:val="000000"/>
              </w:rPr>
              <w:t>(Support document: CCR Content Progressions)</w:t>
            </w:r>
          </w:p>
        </w:tc>
      </w:tr>
      <w:tr w:rsidR="00EA3EA2" w:rsidRPr="00EA3EA2" w:rsidTr="00EA3EA2">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Resource Criterion Rating</w:t>
            </w:r>
            <w:r w:rsidRPr="00EA3EA2">
              <w:rPr>
                <w:rFonts w:ascii="Calibri" w:hAnsi="Calibri" w:cs="Times New Roman"/>
                <w:color w:val="000000"/>
                <w:sz w:val="14"/>
                <w:szCs w:val="14"/>
                <w:vertAlign w:val="superscript"/>
              </w:rPr>
              <w:t>1</w:t>
            </w:r>
            <w:proofErr w:type="gramStart"/>
            <w:r w:rsidRPr="00EA3EA2">
              <w:rPr>
                <w:rFonts w:ascii="Calibri" w:hAnsi="Calibri" w:cs="Times New Roman"/>
                <w:color w:val="000000"/>
              </w:rPr>
              <w:t>:           Strong</w:t>
            </w:r>
            <w:proofErr w:type="gramEnd"/>
            <w:r w:rsidRPr="00EA3EA2">
              <w:rPr>
                <w:rFonts w:ascii="Calibri" w:hAnsi="Calibri" w:cs="Times New Roman"/>
                <w:color w:val="000000"/>
              </w:rPr>
              <w:t xml:space="preserve">        </w:t>
            </w:r>
            <w:r w:rsidRPr="00EA3EA2">
              <w:rPr>
                <w:rFonts w:ascii="STIXGeneral-Regular" w:hAnsi="STIXGeneral-Regular" w:cs="STIXGeneral-Regular"/>
                <w:color w:val="000000"/>
              </w:rPr>
              <w:t>⃞</w:t>
            </w:r>
            <w:r w:rsidRPr="00EA3EA2">
              <w:rPr>
                <w:rFonts w:ascii="Calibri" w:hAnsi="Calibri" w:cs="Times New Roman"/>
                <w:color w:val="000000"/>
              </w:rPr>
              <w:t xml:space="preserve">           Modifications Necessary        </w:t>
            </w:r>
            <w:r w:rsidRPr="00EA3EA2">
              <w:rPr>
                <w:rFonts w:ascii="STIXGeneral-Regular" w:hAnsi="STIXGeneral-Regular" w:cs="STIXGeneral-Regular"/>
                <w:color w:val="000000"/>
              </w:rPr>
              <w:t>⃞</w:t>
            </w:r>
            <w:r w:rsidRPr="00EA3EA2">
              <w:rPr>
                <w:rFonts w:ascii="Calibri" w:hAnsi="Calibri" w:cs="Times New Roman"/>
                <w:color w:val="000000"/>
              </w:rPr>
              <w:t xml:space="preserve">                Weak        </w:t>
            </w:r>
            <w:r w:rsidRPr="00EA3EA2">
              <w:rPr>
                <w:rFonts w:ascii="STIXGeneral-Regular" w:hAnsi="STIXGeneral-Regular" w:cs="STIXGeneral-Regular"/>
                <w:color w:val="000000"/>
              </w:rPr>
              <w:t>⃞</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color w:val="000000"/>
              </w:rPr>
              <w:t>High-value actions needed to fill the gaps:</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 xml:space="preserve">Add to lesson(s) or units knowledge and skills from prior levels needed to understand content that students are currently learning. </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 xml:space="preserve">Identify “as review” student </w:t>
            </w:r>
            <w:proofErr w:type="gramStart"/>
            <w:r w:rsidRPr="00EA3EA2">
              <w:rPr>
                <w:rFonts w:ascii="Calibri" w:hAnsi="Calibri" w:cs="Times New Roman"/>
                <w:color w:val="000000"/>
              </w:rPr>
              <w:t>tasks,</w:t>
            </w:r>
            <w:proofErr w:type="gramEnd"/>
            <w:r w:rsidRPr="00EA3EA2">
              <w:rPr>
                <w:rFonts w:ascii="Calibri" w:hAnsi="Calibri" w:cs="Times New Roman"/>
                <w:color w:val="000000"/>
              </w:rPr>
              <w:t xml:space="preserve"> activities, or assessment items included in units that reference learning at previous levels.</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Identify opportunities where level-specific content supports future learning.</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Exclude student activities or assessment items addressing learning at subsequent levels.</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 xml:space="preserve">Identify student activities or assessment at subsequent levels as an extension of work at the current level. </w:t>
            </w:r>
          </w:p>
          <w:p w:rsidR="00EA3EA2" w:rsidRPr="00EA3EA2" w:rsidRDefault="00EA3EA2" w:rsidP="00EA3EA2">
            <w:pPr>
              <w:numPr>
                <w:ilvl w:val="0"/>
                <w:numId w:val="6"/>
              </w:numPr>
              <w:ind w:right="-108"/>
              <w:textAlignment w:val="baseline"/>
              <w:rPr>
                <w:rFonts w:ascii="Calibri" w:hAnsi="Calibri" w:cs="Times New Roman"/>
                <w:color w:val="000000"/>
              </w:rPr>
            </w:pPr>
            <w:r w:rsidRPr="00EA3EA2">
              <w:rPr>
                <w:rFonts w:ascii="Calibri" w:hAnsi="Calibri" w:cs="Times New Roman"/>
                <w:color w:val="000000"/>
              </w:rPr>
              <w:t xml:space="preserve">Rearrange units so the sequence of knowledge and skills learned in the resource has a natural and logical flow to support student learning. </w:t>
            </w:r>
          </w:p>
          <w:p w:rsidR="00EA3EA2" w:rsidRPr="00EA3EA2" w:rsidRDefault="00EA3EA2" w:rsidP="00EA3EA2">
            <w:pPr>
              <w:numPr>
                <w:ilvl w:val="0"/>
                <w:numId w:val="6"/>
              </w:numPr>
              <w:textAlignment w:val="baseline"/>
              <w:rPr>
                <w:rFonts w:ascii="Calibri" w:hAnsi="Calibri" w:cs="Times New Roman"/>
                <w:color w:val="000000"/>
              </w:rPr>
            </w:pPr>
            <w:r w:rsidRPr="00EA3EA2">
              <w:rPr>
                <w:rFonts w:ascii="Calibri" w:hAnsi="Calibri" w:cs="Times New Roman"/>
                <w:color w:val="000000"/>
              </w:rPr>
              <w:t>Other:</w:t>
            </w:r>
          </w:p>
          <w:p w:rsidR="00EA3EA2" w:rsidRPr="00EA3EA2" w:rsidRDefault="00EA3EA2" w:rsidP="00EA3EA2">
            <w:pPr>
              <w:spacing w:after="240"/>
              <w:rPr>
                <w:rFonts w:ascii="Times" w:hAnsi="Times"/>
                <w:sz w:val="20"/>
                <w:szCs w:val="20"/>
              </w:rPr>
            </w:pPr>
          </w:p>
          <w:p w:rsidR="00EA3EA2" w:rsidRPr="00EA3EA2" w:rsidRDefault="00EA3EA2" w:rsidP="00EA3EA2">
            <w:pPr>
              <w:numPr>
                <w:ilvl w:val="0"/>
                <w:numId w:val="7"/>
              </w:numPr>
              <w:textAlignment w:val="baseline"/>
              <w:rPr>
                <w:rFonts w:ascii="Calibri" w:hAnsi="Calibri" w:cs="Times New Roman"/>
                <w:color w:val="000000"/>
              </w:rPr>
            </w:pPr>
            <w:r w:rsidRPr="00EA3EA2">
              <w:rPr>
                <w:rFonts w:ascii="Calibri" w:hAnsi="Calibri" w:cs="Times New Roman"/>
                <w:color w:val="000000"/>
              </w:rPr>
              <w:t>Additional notes on above actions:</w:t>
            </w:r>
          </w:p>
          <w:p w:rsidR="00EA3EA2" w:rsidRPr="00EA3EA2" w:rsidRDefault="00EA3EA2" w:rsidP="00EA3EA2">
            <w:pPr>
              <w:spacing w:after="240"/>
              <w:rPr>
                <w:rFonts w:ascii="Times" w:hAnsi="Times"/>
                <w:sz w:val="20"/>
                <w:szCs w:val="20"/>
              </w:rPr>
            </w:pP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p>
        </w:tc>
      </w:tr>
    </w:tbl>
    <w:p w:rsidR="00EA3EA2" w:rsidRPr="00EA3EA2" w:rsidRDefault="00EA3EA2" w:rsidP="00EA3EA2">
      <w:pPr>
        <w:rPr>
          <w:rFonts w:ascii="Times" w:hAnsi="Times"/>
          <w:sz w:val="20"/>
          <w:szCs w:val="2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Default="00EA3EA2" w:rsidP="00EA3EA2">
      <w:pPr>
        <w:jc w:val="center"/>
        <w:rPr>
          <w:rFonts w:ascii="Calibri" w:hAnsi="Calibri" w:cs="Times New Roman"/>
          <w:b/>
          <w:bCs/>
          <w:color w:val="000000"/>
        </w:rPr>
      </w:pPr>
    </w:p>
    <w:p w:rsidR="00EA3EA2" w:rsidRPr="00EA3EA2" w:rsidRDefault="00EA3EA2" w:rsidP="00EA3EA2">
      <w:pPr>
        <w:jc w:val="center"/>
        <w:rPr>
          <w:rFonts w:ascii="Times" w:hAnsi="Times" w:cs="Times New Roman"/>
          <w:sz w:val="20"/>
          <w:szCs w:val="20"/>
        </w:rPr>
      </w:pPr>
      <w:r w:rsidRPr="00EA3EA2">
        <w:rPr>
          <w:rFonts w:ascii="Calibri" w:hAnsi="Calibri" w:cs="Times New Roman"/>
          <w:b/>
          <w:bCs/>
          <w:color w:val="000000"/>
        </w:rPr>
        <w:t>Criterion #4—</w:t>
      </w:r>
      <w:r w:rsidRPr="00EA3EA2">
        <w:rPr>
          <w:rFonts w:ascii="Calibri" w:hAnsi="Calibri" w:cs="Times New Roman"/>
          <w:b/>
          <w:bCs/>
          <w:color w:val="000000"/>
          <w:u w:val="single"/>
        </w:rPr>
        <w:t>Structure, Support and Assessment</w:t>
      </w:r>
      <w:r w:rsidRPr="00EA3EA2">
        <w:rPr>
          <w:rFonts w:ascii="Calibri" w:hAnsi="Calibri" w:cs="Times New Roman"/>
          <w:b/>
          <w:bCs/>
          <w:color w:val="000000"/>
        </w:rPr>
        <w:t>: Does the resource provide structure and support for standards-aligned instruction and assessment?</w:t>
      </w:r>
    </w:p>
    <w:p w:rsidR="00EA3EA2" w:rsidRPr="00EA3EA2" w:rsidRDefault="00EA3EA2" w:rsidP="00EA3EA2">
      <w:pPr>
        <w:rPr>
          <w:rFonts w:ascii="Times" w:hAnsi="Times"/>
          <w:sz w:val="20"/>
          <w:szCs w:val="20"/>
        </w:rPr>
      </w:pPr>
    </w:p>
    <w:tbl>
      <w:tblPr>
        <w:tblW w:w="0" w:type="auto"/>
        <w:tblCellMar>
          <w:top w:w="15" w:type="dxa"/>
          <w:left w:w="15" w:type="dxa"/>
          <w:bottom w:w="15" w:type="dxa"/>
          <w:right w:w="15" w:type="dxa"/>
        </w:tblCellMar>
        <w:tblLook w:val="0000"/>
      </w:tblPr>
      <w:tblGrid>
        <w:gridCol w:w="4234"/>
        <w:gridCol w:w="6406"/>
      </w:tblGrid>
      <w:tr w:rsidR="00EA3EA2" w:rsidRPr="00EA3EA2" w:rsidTr="00EA3EA2">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4.1</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 xml:space="preserve">Instructional Support: </w:t>
            </w:r>
            <w:r w:rsidRPr="00EA3EA2">
              <w:rPr>
                <w:rFonts w:ascii="Calibri" w:hAnsi="Calibri" w:cs="Times New Roman"/>
                <w:color w:val="000000"/>
              </w:rPr>
              <w:t>The resource is responsive to varied student learning needs.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Dimension 4.2</w:t>
            </w:r>
          </w:p>
          <w:p w:rsidR="00EA3EA2" w:rsidRPr="00EA3EA2" w:rsidRDefault="00EA3EA2" w:rsidP="00EA3EA2">
            <w:pPr>
              <w:rPr>
                <w:rFonts w:ascii="Times" w:hAnsi="Times"/>
                <w:sz w:val="20"/>
                <w:szCs w:val="20"/>
              </w:rPr>
            </w:pPr>
          </w:p>
          <w:p w:rsidR="00000000" w:rsidRPr="00EA3EA2" w:rsidRDefault="00EA3EA2" w:rsidP="00EA3EA2">
            <w:pPr>
              <w:spacing w:line="0" w:lineRule="atLeast"/>
              <w:rPr>
                <w:rFonts w:ascii="Times" w:hAnsi="Times" w:cs="Times New Roman"/>
                <w:sz w:val="20"/>
                <w:szCs w:val="20"/>
              </w:rPr>
            </w:pPr>
            <w:r w:rsidRPr="00EA3EA2">
              <w:rPr>
                <w:rFonts w:ascii="Calibri" w:hAnsi="Calibri" w:cs="Times New Roman"/>
                <w:b/>
                <w:bCs/>
                <w:color w:val="000000"/>
              </w:rPr>
              <w:t xml:space="preserve">Assessment: </w:t>
            </w:r>
            <w:r w:rsidRPr="00EA3EA2">
              <w:rPr>
                <w:rFonts w:ascii="Calibri" w:hAnsi="Calibri" w:cs="Times New Roman"/>
                <w:color w:val="000000"/>
              </w:rPr>
              <w:t xml:space="preserve">The resource </w:t>
            </w:r>
            <w:r w:rsidRPr="00EA3EA2">
              <w:rPr>
                <w:rFonts w:ascii="Calibri" w:hAnsi="Calibri" w:cs="Times New Roman"/>
                <w:i/>
                <w:iCs/>
                <w:color w:val="000000"/>
              </w:rPr>
              <w:t>regularly</w:t>
            </w:r>
            <w:r w:rsidRPr="00EA3EA2">
              <w:rPr>
                <w:rFonts w:ascii="Calibri" w:hAnsi="Calibri" w:cs="Times New Roman"/>
                <w:color w:val="000000"/>
              </w:rPr>
              <w:t xml:space="preserve"> provides opportunities to assess whether students are mastering standards-based content and skills.</w:t>
            </w:r>
          </w:p>
        </w:tc>
      </w:tr>
      <w:tr w:rsidR="00EA3EA2" w:rsidRPr="00EA3EA2" w:rsidTr="00EA3EA2">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3EA2" w:rsidRPr="00EA3EA2" w:rsidRDefault="00EA3EA2" w:rsidP="00EA3EA2">
            <w:pPr>
              <w:rPr>
                <w:rFonts w:ascii="Times" w:hAnsi="Times" w:cs="Times New Roman"/>
                <w:sz w:val="20"/>
                <w:szCs w:val="20"/>
              </w:rPr>
            </w:pPr>
            <w:r w:rsidRPr="00EA3EA2">
              <w:rPr>
                <w:rFonts w:ascii="Calibri" w:hAnsi="Calibri" w:cs="Times New Roman"/>
                <w:color w:val="000000"/>
              </w:rPr>
              <w:t>Resource Criterion Rating</w:t>
            </w:r>
            <w:r w:rsidRPr="00EA3EA2">
              <w:rPr>
                <w:rFonts w:ascii="Calibri" w:hAnsi="Calibri" w:cs="Times New Roman"/>
                <w:color w:val="000000"/>
                <w:sz w:val="14"/>
                <w:szCs w:val="14"/>
                <w:vertAlign w:val="superscript"/>
              </w:rPr>
              <w:t>1</w:t>
            </w:r>
            <w:proofErr w:type="gramStart"/>
            <w:r w:rsidRPr="00EA3EA2">
              <w:rPr>
                <w:rFonts w:ascii="Calibri" w:hAnsi="Calibri" w:cs="Times New Roman"/>
                <w:color w:val="000000"/>
              </w:rPr>
              <w:t>:           Strong</w:t>
            </w:r>
            <w:proofErr w:type="gramEnd"/>
            <w:r w:rsidRPr="00EA3EA2">
              <w:rPr>
                <w:rFonts w:ascii="Calibri" w:hAnsi="Calibri" w:cs="Times New Roman"/>
                <w:color w:val="000000"/>
              </w:rPr>
              <w:t xml:space="preserve">        </w:t>
            </w:r>
            <w:r w:rsidRPr="00EA3EA2">
              <w:rPr>
                <w:rFonts w:ascii="STIXGeneral-Regular" w:hAnsi="STIXGeneral-Regular" w:cs="STIXGeneral-Regular"/>
                <w:color w:val="000000"/>
              </w:rPr>
              <w:t>⃞</w:t>
            </w:r>
            <w:r w:rsidRPr="00EA3EA2">
              <w:rPr>
                <w:rFonts w:ascii="Calibri" w:hAnsi="Calibri" w:cs="Times New Roman"/>
                <w:color w:val="000000"/>
              </w:rPr>
              <w:t xml:space="preserve">          Modifications Necessary        </w:t>
            </w:r>
            <w:r w:rsidRPr="00EA3EA2">
              <w:rPr>
                <w:rFonts w:ascii="STIXGeneral-Regular" w:hAnsi="STIXGeneral-Regular" w:cs="STIXGeneral-Regular"/>
                <w:color w:val="000000"/>
              </w:rPr>
              <w:t>⃞</w:t>
            </w:r>
            <w:r w:rsidRPr="00EA3EA2">
              <w:rPr>
                <w:rFonts w:ascii="Calibri" w:hAnsi="Calibri" w:cs="Times New Roman"/>
                <w:color w:val="000000"/>
              </w:rPr>
              <w:t xml:space="preserve">                Weak        </w:t>
            </w:r>
            <w:r w:rsidRPr="00EA3EA2">
              <w:rPr>
                <w:rFonts w:ascii="STIXGeneral-Regular" w:hAnsi="STIXGeneral-Regular" w:cs="STIXGeneral-Regular"/>
                <w:color w:val="000000"/>
              </w:rPr>
              <w:t>⃞</w:t>
            </w:r>
          </w:p>
          <w:p w:rsidR="00EA3EA2" w:rsidRPr="00EA3EA2" w:rsidRDefault="00EA3EA2" w:rsidP="00EA3EA2">
            <w:pPr>
              <w:rPr>
                <w:rFonts w:ascii="Times" w:hAnsi="Times"/>
                <w:sz w:val="20"/>
                <w:szCs w:val="20"/>
              </w:rPr>
            </w:pPr>
          </w:p>
          <w:p w:rsidR="00EA3EA2" w:rsidRPr="00EA3EA2" w:rsidRDefault="00EA3EA2" w:rsidP="00EA3EA2">
            <w:pPr>
              <w:rPr>
                <w:rFonts w:ascii="Times" w:hAnsi="Times" w:cs="Times New Roman"/>
                <w:sz w:val="20"/>
                <w:szCs w:val="20"/>
              </w:rPr>
            </w:pPr>
            <w:r w:rsidRPr="00EA3EA2">
              <w:rPr>
                <w:rFonts w:ascii="Calibri" w:hAnsi="Calibri" w:cs="Times New Roman"/>
                <w:color w:val="000000"/>
              </w:rPr>
              <w:t>High-value actions needed to fill the gaps:</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Identify opportunities and resources for scaffolding, differentiation, intervention and support for students with learning challenges or are struggling to master content.</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Identify opportunities and resources for extension and support for students who already know the content.</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Identify content specific vocabulary and other language support needs and develop appropriate scaffolds.</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 xml:space="preserve">Develop standards-aligned assessments and rubrics or assessment guidelines that </w:t>
            </w:r>
            <w:proofErr w:type="spellStart"/>
            <w:r w:rsidRPr="00EA3EA2">
              <w:rPr>
                <w:rFonts w:ascii="Calibri" w:hAnsi="Calibri" w:cs="Times New Roman"/>
                <w:color w:val="000000"/>
              </w:rPr>
              <w:t>unbiasedly</w:t>
            </w:r>
            <w:proofErr w:type="spellEnd"/>
            <w:r w:rsidRPr="00EA3EA2">
              <w:rPr>
                <w:rFonts w:ascii="Calibri" w:hAnsi="Calibri" w:cs="Times New Roman"/>
                <w:color w:val="000000"/>
              </w:rPr>
              <w:t xml:space="preserve"> measure a student’s ability to demonstrate targeted standards.</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 xml:space="preserve">Incorporate varied modes of curriculum-embedded assessments that may include pre-, formative, </w:t>
            </w:r>
            <w:proofErr w:type="gramStart"/>
            <w:r w:rsidRPr="00EA3EA2">
              <w:rPr>
                <w:rFonts w:ascii="Calibri" w:hAnsi="Calibri" w:cs="Times New Roman"/>
                <w:color w:val="000000"/>
              </w:rPr>
              <w:t>summative</w:t>
            </w:r>
            <w:proofErr w:type="gramEnd"/>
            <w:r w:rsidRPr="00EA3EA2">
              <w:rPr>
                <w:rFonts w:ascii="Calibri" w:hAnsi="Calibri" w:cs="Times New Roman"/>
                <w:color w:val="000000"/>
              </w:rPr>
              <w:t xml:space="preserve"> and self-assessment measures (for curricular units and published resources only).</w:t>
            </w:r>
          </w:p>
          <w:p w:rsidR="00EA3EA2" w:rsidRPr="00EA3EA2" w:rsidRDefault="00EA3EA2" w:rsidP="00EA3EA2">
            <w:pPr>
              <w:numPr>
                <w:ilvl w:val="0"/>
                <w:numId w:val="8"/>
              </w:numPr>
              <w:ind w:right="-108"/>
              <w:textAlignment w:val="baseline"/>
              <w:rPr>
                <w:rFonts w:ascii="Calibri" w:hAnsi="Calibri" w:cs="Times New Roman"/>
                <w:color w:val="000000"/>
              </w:rPr>
            </w:pPr>
            <w:r w:rsidRPr="00EA3EA2">
              <w:rPr>
                <w:rFonts w:ascii="Calibri" w:hAnsi="Calibri" w:cs="Times New Roman"/>
                <w:color w:val="000000"/>
              </w:rPr>
              <w:t>Provide relevant contexts for learners such as career, community, or academic subjects for the purposes of building knowledge.</w:t>
            </w:r>
          </w:p>
          <w:p w:rsidR="00EA3EA2" w:rsidRPr="00EA3EA2" w:rsidRDefault="00EA3EA2" w:rsidP="00EA3EA2">
            <w:pPr>
              <w:numPr>
                <w:ilvl w:val="0"/>
                <w:numId w:val="8"/>
              </w:numPr>
              <w:textAlignment w:val="baseline"/>
              <w:rPr>
                <w:rFonts w:ascii="Calibri" w:hAnsi="Calibri" w:cs="Times New Roman"/>
                <w:color w:val="000000"/>
              </w:rPr>
            </w:pPr>
            <w:r w:rsidRPr="00EA3EA2">
              <w:rPr>
                <w:rFonts w:ascii="Calibri" w:hAnsi="Calibri" w:cs="Times New Roman"/>
                <w:color w:val="000000"/>
              </w:rPr>
              <w:t>Other:</w:t>
            </w:r>
          </w:p>
          <w:p w:rsidR="00EA3EA2" w:rsidRPr="00EA3EA2" w:rsidRDefault="00EA3EA2" w:rsidP="00EA3EA2">
            <w:pPr>
              <w:spacing w:after="240"/>
              <w:rPr>
                <w:rFonts w:ascii="Times" w:hAnsi="Times"/>
                <w:sz w:val="20"/>
                <w:szCs w:val="20"/>
              </w:rPr>
            </w:pPr>
          </w:p>
          <w:p w:rsidR="00EA3EA2" w:rsidRPr="00EA3EA2" w:rsidRDefault="00EA3EA2" w:rsidP="00EA3EA2">
            <w:pPr>
              <w:numPr>
                <w:ilvl w:val="0"/>
                <w:numId w:val="9"/>
              </w:numPr>
              <w:textAlignment w:val="baseline"/>
              <w:rPr>
                <w:rFonts w:ascii="Calibri" w:hAnsi="Calibri" w:cs="Times New Roman"/>
                <w:color w:val="000000"/>
              </w:rPr>
            </w:pPr>
            <w:r w:rsidRPr="00EA3EA2">
              <w:rPr>
                <w:rFonts w:ascii="Calibri" w:hAnsi="Calibri" w:cs="Times New Roman"/>
                <w:color w:val="000000"/>
              </w:rPr>
              <w:t>Additional notes on above actions:</w:t>
            </w:r>
          </w:p>
          <w:p w:rsidR="00EA3EA2" w:rsidRPr="00EA3EA2" w:rsidRDefault="00EA3EA2" w:rsidP="00EA3EA2">
            <w:pPr>
              <w:spacing w:after="240"/>
              <w:rPr>
                <w:rFonts w:ascii="Times" w:hAnsi="Times"/>
                <w:sz w:val="20"/>
                <w:szCs w:val="20"/>
              </w:rPr>
            </w:pP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r w:rsidRPr="00EA3EA2">
              <w:rPr>
                <w:rFonts w:ascii="Times" w:hAnsi="Times"/>
                <w:sz w:val="20"/>
                <w:szCs w:val="20"/>
              </w:rPr>
              <w:br/>
            </w:r>
          </w:p>
        </w:tc>
      </w:tr>
    </w:tbl>
    <w:p w:rsidR="00DB5F58" w:rsidRDefault="00EA3EA2"/>
    <w:sectPr w:rsidR="00DB5F58" w:rsidSect="00EA3EA2">
      <w:headerReference w:type="default" r:id="rId5"/>
      <w:footerReference w:type="default" r:id="rId6"/>
      <w:pgSz w:w="12240" w:h="15840"/>
      <w:pgMar w:top="720" w:right="720" w:bottom="720" w:left="108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A2" w:rsidRDefault="00EA3EA2" w:rsidP="00EA3EA2">
    <w:pPr>
      <w:pStyle w:val="NormalWeb"/>
      <w:spacing w:beforeLines="0" w:afterLines="0"/>
    </w:pPr>
    <w:r>
      <w:rPr>
        <w:rFonts w:ascii="Calibri" w:hAnsi="Calibri"/>
        <w:color w:val="000000"/>
        <w:sz w:val="13"/>
        <w:szCs w:val="13"/>
        <w:vertAlign w:val="superscript"/>
      </w:rPr>
      <w:t>1</w:t>
    </w:r>
    <w:r>
      <w:rPr>
        <w:rFonts w:ascii="Calibri" w:hAnsi="Calibri"/>
        <w:color w:val="000000"/>
        <w:sz w:val="16"/>
        <w:szCs w:val="16"/>
      </w:rPr>
      <w:t>Use Mathematics CCRS Alignment Evaluation Tool  </w:t>
    </w:r>
  </w:p>
  <w:p w:rsidR="00EA3EA2" w:rsidRDefault="00EA3EA2" w:rsidP="00EA3EA2">
    <w:pPr>
      <w:pStyle w:val="NormalWeb"/>
      <w:spacing w:beforeLines="0" w:afterLines="0"/>
      <w:ind w:right="360"/>
    </w:pPr>
    <w:r>
      <w:rPr>
        <w:rFonts w:ascii="Calibri" w:hAnsi="Calibri"/>
        <w:color w:val="000000"/>
        <w:sz w:val="16"/>
        <w:szCs w:val="16"/>
      </w:rPr>
      <w:t xml:space="preserve">Adapted From College and Career Readiness Standards-in-Action and </w:t>
    </w:r>
    <w:proofErr w:type="spellStart"/>
    <w:r>
      <w:rPr>
        <w:rFonts w:ascii="Calibri" w:hAnsi="Calibri"/>
        <w:color w:val="000000"/>
        <w:sz w:val="16"/>
        <w:szCs w:val="16"/>
      </w:rPr>
      <w:t>EQuIP</w:t>
    </w:r>
    <w:proofErr w:type="spellEnd"/>
    <w:r>
      <w:rPr>
        <w:rFonts w:ascii="Calibri" w:hAnsi="Calibri"/>
        <w:color w:val="000000"/>
        <w:sz w:val="16"/>
        <w:szCs w:val="16"/>
      </w:rPr>
      <w:t xml:space="preserve"> Rubric for Lessons and Units: Mathematics</w:t>
    </w:r>
  </w:p>
  <w:p w:rsidR="00EA3EA2" w:rsidRDefault="00EA3EA2" w:rsidP="00EA3EA2">
    <w:pPr>
      <w:pStyle w:val="NormalWeb"/>
      <w:spacing w:beforeLines="0" w:afterLines="0"/>
      <w:ind w:right="360"/>
    </w:pPr>
    <w:r>
      <w:rPr>
        <w:rFonts w:ascii="Calibri" w:hAnsi="Calibri"/>
        <w:color w:val="000000"/>
        <w:sz w:val="16"/>
        <w:szCs w:val="16"/>
      </w:rPr>
      <w:t>August 2017</w:t>
    </w:r>
  </w:p>
  <w:p w:rsidR="00EA3EA2" w:rsidRDefault="00EA3EA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A2" w:rsidRDefault="00EA3EA2">
    <w:pPr>
      <w:pStyle w:val="Header"/>
    </w:pPr>
    <w:r w:rsidRPr="00EA3EA2">
      <w:drawing>
        <wp:anchor distT="0" distB="0" distL="114300" distR="114300" simplePos="0" relativeHeight="251660288" behindDoc="1" locked="0" layoutInCell="1" allowOverlap="1">
          <wp:simplePos x="0" y="0"/>
          <wp:positionH relativeFrom="column">
            <wp:posOffset>-457200</wp:posOffset>
          </wp:positionH>
          <wp:positionV relativeFrom="paragraph">
            <wp:posOffset>-228600</wp:posOffset>
          </wp:positionV>
          <wp:extent cx="1036320" cy="345440"/>
          <wp:effectExtent l="25400" t="0" r="5080" b="0"/>
          <wp:wrapNone/>
          <wp:docPr id="3" name="Picture 1" descr="https://lh5.googleusercontent.com/3JUMNDwdkkummHA9XP9sjrFa3VinklsNfbXxe-F8G6uu7nUn4oC3K3fa2tjl2XCjXBg5Zj-WbIhI03RKepVQ17uSrHeuy6wr4Apux8tBJy8PKmx7An_60_f2R9c78ySG8T7Gw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JUMNDwdkkummHA9XP9sjrFa3VinklsNfbXxe-F8G6uu7nUn4oC3K3fa2tjl2XCjXBg5Zj-WbIhI03RKepVQ17uSrHeuy6wr4Apux8tBJy8PKmx7An_60_f2R9c78ySG8T7GwDyg"/>
                  <pic:cNvPicPr>
                    <a:picLocks noChangeAspect="1" noChangeArrowheads="1"/>
                  </pic:cNvPicPr>
                </pic:nvPicPr>
                <pic:blipFill>
                  <a:blip r:embed="rId1"/>
                  <a:srcRect/>
                  <a:stretch>
                    <a:fillRect/>
                  </a:stretch>
                </pic:blipFill>
                <pic:spPr bwMode="auto">
                  <a:xfrm>
                    <a:off x="0" y="0"/>
                    <a:ext cx="1036320" cy="34544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DDE"/>
    <w:multiLevelType w:val="multilevel"/>
    <w:tmpl w:val="716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45E6"/>
    <w:multiLevelType w:val="multilevel"/>
    <w:tmpl w:val="A46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1056E"/>
    <w:multiLevelType w:val="multilevel"/>
    <w:tmpl w:val="0D2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97721"/>
    <w:multiLevelType w:val="multilevel"/>
    <w:tmpl w:val="1D7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E585F"/>
    <w:multiLevelType w:val="multilevel"/>
    <w:tmpl w:val="D4F8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53AF"/>
    <w:multiLevelType w:val="multilevel"/>
    <w:tmpl w:val="495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4183A"/>
    <w:multiLevelType w:val="multilevel"/>
    <w:tmpl w:val="3CA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80571"/>
    <w:multiLevelType w:val="multilevel"/>
    <w:tmpl w:val="D27C7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splitPgBreakAndParaMark/>
    <w:doNotVertAlignCellWithSp/>
    <w:doNotBreakConstrainedForcedTable/>
    <w:useAnsiKerningPairs/>
    <w:cachedColBalance/>
  </w:compat>
  <w:rsids>
    <w:rsidRoot w:val="00EA3EA2"/>
    <w:rsid w:val="00EA3EA2"/>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A3EA2"/>
    <w:pPr>
      <w:pBdr>
        <w:top w:val="nil"/>
        <w:left w:val="nil"/>
        <w:bottom w:val="nil"/>
        <w:right w:val="nil"/>
        <w:between w:val="nil"/>
      </w:pBdr>
      <w:spacing w:line="276" w:lineRule="auto"/>
    </w:pPr>
    <w:rPr>
      <w:rFonts w:ascii="Arial" w:eastAsia="Arial" w:hAnsi="Arial" w:cs="Arial"/>
      <w:color w:val="000000"/>
      <w:sz w:val="22"/>
      <w:szCs w:val="22"/>
      <w:lang/>
    </w:rPr>
  </w:style>
  <w:style w:type="paragraph" w:styleId="NormalWeb">
    <w:name w:val="Normal (Web)"/>
    <w:basedOn w:val="Normal"/>
    <w:uiPriority w:val="99"/>
    <w:rsid w:val="00EA3EA2"/>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EA3EA2"/>
    <w:pPr>
      <w:tabs>
        <w:tab w:val="center" w:pos="4320"/>
        <w:tab w:val="right" w:pos="8640"/>
      </w:tabs>
    </w:pPr>
  </w:style>
  <w:style w:type="character" w:customStyle="1" w:styleId="HeaderChar">
    <w:name w:val="Header Char"/>
    <w:basedOn w:val="DefaultParagraphFont"/>
    <w:link w:val="Header"/>
    <w:uiPriority w:val="99"/>
    <w:semiHidden/>
    <w:rsid w:val="00EA3EA2"/>
  </w:style>
  <w:style w:type="paragraph" w:styleId="Footer">
    <w:name w:val="footer"/>
    <w:basedOn w:val="Normal"/>
    <w:link w:val="FooterChar"/>
    <w:uiPriority w:val="99"/>
    <w:semiHidden/>
    <w:unhideWhenUsed/>
    <w:rsid w:val="00EA3EA2"/>
    <w:pPr>
      <w:tabs>
        <w:tab w:val="center" w:pos="4320"/>
        <w:tab w:val="right" w:pos="8640"/>
      </w:tabs>
    </w:pPr>
  </w:style>
  <w:style w:type="character" w:customStyle="1" w:styleId="FooterChar">
    <w:name w:val="Footer Char"/>
    <w:basedOn w:val="DefaultParagraphFont"/>
    <w:link w:val="Footer"/>
    <w:uiPriority w:val="99"/>
    <w:semiHidden/>
    <w:rsid w:val="00EA3EA2"/>
  </w:style>
</w:styles>
</file>

<file path=word/webSettings.xml><?xml version="1.0" encoding="utf-8"?>
<w:webSettings xmlns:r="http://schemas.openxmlformats.org/officeDocument/2006/relationships" xmlns:w="http://schemas.openxmlformats.org/wordprocessingml/2006/main">
  <w:divs>
    <w:div w:id="1424373099">
      <w:bodyDiv w:val="1"/>
      <w:marLeft w:val="0"/>
      <w:marRight w:val="0"/>
      <w:marTop w:val="0"/>
      <w:marBottom w:val="0"/>
      <w:divBdr>
        <w:top w:val="none" w:sz="0" w:space="0" w:color="auto"/>
        <w:left w:val="none" w:sz="0" w:space="0" w:color="auto"/>
        <w:bottom w:val="none" w:sz="0" w:space="0" w:color="auto"/>
        <w:right w:val="none" w:sz="0" w:space="0" w:color="auto"/>
      </w:divBdr>
      <w:divsChild>
        <w:div w:id="1254703345">
          <w:marLeft w:val="0"/>
          <w:marRight w:val="0"/>
          <w:marTop w:val="0"/>
          <w:marBottom w:val="0"/>
          <w:divBdr>
            <w:top w:val="none" w:sz="0" w:space="0" w:color="auto"/>
            <w:left w:val="none" w:sz="0" w:space="0" w:color="auto"/>
            <w:bottom w:val="none" w:sz="0" w:space="0" w:color="auto"/>
            <w:right w:val="none" w:sz="0" w:space="0" w:color="auto"/>
          </w:divBdr>
        </w:div>
        <w:div w:id="1775900302">
          <w:marLeft w:val="0"/>
          <w:marRight w:val="0"/>
          <w:marTop w:val="0"/>
          <w:marBottom w:val="0"/>
          <w:divBdr>
            <w:top w:val="none" w:sz="0" w:space="0" w:color="auto"/>
            <w:left w:val="none" w:sz="0" w:space="0" w:color="auto"/>
            <w:bottom w:val="none" w:sz="0" w:space="0" w:color="auto"/>
            <w:right w:val="none" w:sz="0" w:space="0" w:color="auto"/>
          </w:divBdr>
        </w:div>
        <w:div w:id="1365785819">
          <w:marLeft w:val="0"/>
          <w:marRight w:val="0"/>
          <w:marTop w:val="0"/>
          <w:marBottom w:val="0"/>
          <w:divBdr>
            <w:top w:val="none" w:sz="0" w:space="0" w:color="auto"/>
            <w:left w:val="none" w:sz="0" w:space="0" w:color="auto"/>
            <w:bottom w:val="none" w:sz="0" w:space="0" w:color="auto"/>
            <w:right w:val="none" w:sz="0" w:space="0" w:color="auto"/>
          </w:divBdr>
        </w:div>
        <w:div w:id="1837989519">
          <w:marLeft w:val="0"/>
          <w:marRight w:val="0"/>
          <w:marTop w:val="0"/>
          <w:marBottom w:val="0"/>
          <w:divBdr>
            <w:top w:val="none" w:sz="0" w:space="0" w:color="auto"/>
            <w:left w:val="none" w:sz="0" w:space="0" w:color="auto"/>
            <w:bottom w:val="none" w:sz="0" w:space="0" w:color="auto"/>
            <w:right w:val="none" w:sz="0" w:space="0" w:color="auto"/>
          </w:divBdr>
        </w:div>
      </w:divsChild>
    </w:div>
    <w:div w:id="1481459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5241</Characters>
  <Application>Microsoft Macintosh Word</Application>
  <DocSecurity>0</DocSecurity>
  <Lines>43</Lines>
  <Paragraphs>10</Paragraphs>
  <ScaleCrop>false</ScaleCrop>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Delliger</dc:creator>
  <cp:keywords/>
  <cp:lastModifiedBy>Shannon Delliger</cp:lastModifiedBy>
  <cp:revision>1</cp:revision>
  <dcterms:created xsi:type="dcterms:W3CDTF">2017-09-11T03:08:00Z</dcterms:created>
  <dcterms:modified xsi:type="dcterms:W3CDTF">2017-09-11T03:13:00Z</dcterms:modified>
</cp:coreProperties>
</file>