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D0" w:rsidRDefault="00461D8F">
      <w:pPr>
        <w:jc w:val="center"/>
        <w:rPr>
          <w:b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b/>
          <w:sz w:val="40"/>
          <w:szCs w:val="40"/>
          <w:u w:val="single"/>
        </w:rPr>
        <w:t>WorkForce Center</w:t>
      </w:r>
      <w:r>
        <w:rPr>
          <w:b/>
          <w:sz w:val="40"/>
          <w:szCs w:val="40"/>
          <w:u w:val="single"/>
          <w:vertAlign w:val="superscript"/>
        </w:rPr>
        <w:footnoteReference w:id="1"/>
      </w:r>
      <w:r>
        <w:rPr>
          <w:b/>
          <w:sz w:val="40"/>
          <w:szCs w:val="40"/>
          <w:u w:val="single"/>
        </w:rPr>
        <w:t xml:space="preserve"> Required Partners</w:t>
      </w:r>
    </w:p>
    <w:p w:rsidR="007E47D0" w:rsidRDefault="00461D8F">
      <w:pPr>
        <w:rPr>
          <w:sz w:val="24"/>
          <w:szCs w:val="24"/>
        </w:rPr>
      </w:pPr>
      <w:r>
        <w:rPr>
          <w:sz w:val="24"/>
          <w:szCs w:val="24"/>
        </w:rPr>
        <w:t>Adult Basic Education administrators and teachers will benefit from understanding the roles of WIOA partners and the services these partners can provide in adult career pathway programming</w:t>
      </w:r>
      <w:r>
        <w:rPr>
          <w:sz w:val="24"/>
          <w:szCs w:val="24"/>
        </w:rPr>
        <w:t xml:space="preserve">. The six programs outlined below are usually housed within the WorkForce Center.  These six programs are considered “required partners” under WIOA.  </w:t>
      </w:r>
    </w:p>
    <w:p w:rsidR="00080840" w:rsidRDefault="00080840">
      <w:pPr>
        <w:rPr>
          <w:sz w:val="24"/>
          <w:szCs w:val="24"/>
        </w:rPr>
      </w:pPr>
    </w:p>
    <w:tbl>
      <w:tblPr>
        <w:tblStyle w:val="a"/>
        <w:tblW w:w="13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4811"/>
        <w:gridCol w:w="49"/>
        <w:gridCol w:w="5585"/>
      </w:tblGrid>
      <w:tr w:rsidR="007E47D0">
        <w:trPr>
          <w:trHeight w:val="1200"/>
        </w:trPr>
        <w:tc>
          <w:tcPr>
            <w:tcW w:w="2605" w:type="dxa"/>
            <w:shd w:val="clear" w:color="auto" w:fill="D9D9D9"/>
          </w:tcPr>
          <w:p w:rsidR="007E47D0" w:rsidRDefault="00461D8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Six Core Federal WIOA Programs</w:t>
            </w:r>
          </w:p>
        </w:tc>
        <w:tc>
          <w:tcPr>
            <w:tcW w:w="4811" w:type="dxa"/>
            <w:shd w:val="clear" w:color="auto" w:fill="D9D9D9"/>
          </w:tcPr>
          <w:p w:rsidR="007E47D0" w:rsidRDefault="00461D8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Purpose of Program</w:t>
            </w:r>
          </w:p>
        </w:tc>
        <w:tc>
          <w:tcPr>
            <w:tcW w:w="5634" w:type="dxa"/>
            <w:gridSpan w:val="2"/>
            <w:shd w:val="clear" w:color="auto" w:fill="D9D9D9"/>
          </w:tcPr>
          <w:p w:rsidR="007E47D0" w:rsidRDefault="00461D8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How can these programs support adult learners on a care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er pathway?</w:t>
            </w:r>
          </w:p>
        </w:tc>
      </w:tr>
      <w:tr w:rsidR="007E47D0">
        <w:tc>
          <w:tcPr>
            <w:tcW w:w="260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1) Adult Program</w:t>
            </w:r>
          </w:p>
        </w:tc>
        <w:tc>
          <w:tcPr>
            <w:tcW w:w="4811" w:type="dxa"/>
          </w:tcPr>
          <w:p w:rsidR="007E47D0" w:rsidRDefault="00461D8F">
            <w:pP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This program is designed to provide employment and training services to individuals age 18 and older who are at or lower than a level of self-sufficiency. It also helps employers find the skilled workers they need to compete 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nd succeed in business.</w:t>
            </w:r>
          </w:p>
        </w:tc>
        <w:tc>
          <w:tcPr>
            <w:tcW w:w="5634" w:type="dxa"/>
            <w:gridSpan w:val="2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Adults accessing this program can be recruited into Adult Career Pathways.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These funds can provide support services to eligible individuals. Support services are designed to provide a participant with the resources necessary to enab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 their participation in career and training services such as Adult Career Pathways (ACP).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Supportive services may include, but are not limited to: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transportation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childcare and dependent care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housing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Needs-Related Payments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educational testing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uniforms or other appropriate work attire and work-related tools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books, fees, school supplies, and other necessary items for students enrolled in post-secondary education classes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Payments and fees for employment and training-related applications, tests, and certifications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Legal aid services</w:t>
            </w:r>
          </w:p>
        </w:tc>
      </w:tr>
      <w:tr w:rsidR="007E47D0">
        <w:tc>
          <w:tcPr>
            <w:tcW w:w="260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2) Dis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located Worker Program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https://mn.gov/deed/programs-services/dislocated-worker/</w:t>
              </w:r>
            </w:hyperlink>
          </w:p>
        </w:tc>
        <w:tc>
          <w:tcPr>
            <w:tcW w:w="4860" w:type="dxa"/>
            <w:gridSpan w:val="2"/>
          </w:tcPr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The purpose of the Dislocated Worker program is to help dislocated workers become reemployed through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 xml:space="preserve"> job search assistance and/or training that builds their occupational skills to meet labor market needs. </w:t>
            </w:r>
          </w:p>
        </w:tc>
        <w:tc>
          <w:tcPr>
            <w:tcW w:w="558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Adults accessing this program can be recruited into Adult Career Pathways.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These funds can provide support services to eligible individuals. Support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ervices are designed to provide a participant with the resources necessary to enable their participation in career and training services such as Adult Career Pathways (ACP).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Supportive services may include, but are not limited to: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transp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ortation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childcare and dependent care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housing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Needs-Related Payments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educational testing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uniforms or other appropriate work attire and work-related tools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Assistance with books, fees, school supplies, and other necessary items for students enrolled in post-secondary education classes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Payments and fees for employment and training-related applications, tests, and certifications </w:t>
            </w:r>
          </w:p>
          <w:p w:rsidR="007E47D0" w:rsidRDefault="00461D8F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Legal aid services</w:t>
            </w:r>
          </w:p>
        </w:tc>
      </w:tr>
    </w:tbl>
    <w:p w:rsidR="00080840" w:rsidRDefault="00080840">
      <w:r>
        <w:br w:type="page"/>
      </w:r>
    </w:p>
    <w:tbl>
      <w:tblPr>
        <w:tblStyle w:val="a"/>
        <w:tblW w:w="13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4860"/>
        <w:gridCol w:w="5585"/>
      </w:tblGrid>
      <w:tr w:rsidR="007E47D0">
        <w:tc>
          <w:tcPr>
            <w:tcW w:w="2605" w:type="dxa"/>
          </w:tcPr>
          <w:p w:rsidR="007E47D0" w:rsidRDefault="00461D8F">
            <w:pPr>
              <w:spacing w:before="0"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3) Yo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uth Program </w:t>
            </w:r>
          </w:p>
          <w:p w:rsidR="007E47D0" w:rsidRDefault="00461D8F">
            <w:pPr>
              <w:spacing w:before="0" w:after="160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https://mn.gov/deed/programs-services/office-youth-development/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7E47D0" w:rsidRDefault="00461D8F">
            <w:pPr>
              <w:spacing w:before="0" w:after="1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Click on Programs for At-Risk Youth</w:t>
            </w:r>
          </w:p>
        </w:tc>
        <w:tc>
          <w:tcPr>
            <w:tcW w:w="4860" w:type="dxa"/>
          </w:tcPr>
          <w:p w:rsidR="007E47D0" w:rsidRDefault="00461D8F">
            <w:pPr>
              <w:spacing w:before="0" w:after="1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The Youth Program provides formula funded grants to state and local communities to operate a comprehensive array of youth services that help low-income eligible in-school and out-of-school youth. Program participants receive services such as occupational s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kills training, counseling, internships, job placements, mentoring, tutoring, leadership development, and support services</w:t>
            </w: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Calibri" w:eastAsia="Calibri" w:hAnsi="Calibri" w:cs="Calibri"/>
                <w:i/>
                <w:color w:val="333333"/>
                <w:sz w:val="24"/>
                <w:szCs w:val="24"/>
                <w:highlight w:val="white"/>
              </w:rPr>
              <w:t xml:space="preserve">Local communities provide youth activities and services in partnership with the American Job Center network and under the direction </w:t>
            </w:r>
            <w:r>
              <w:rPr>
                <w:rFonts w:ascii="Calibri" w:eastAsia="Calibri" w:hAnsi="Calibri" w:cs="Calibri"/>
                <w:i/>
                <w:color w:val="333333"/>
                <w:sz w:val="24"/>
                <w:szCs w:val="24"/>
                <w:highlight w:val="white"/>
              </w:rPr>
              <w:t>of local Workforce Development Boards.</w:t>
            </w:r>
          </w:p>
        </w:tc>
        <w:tc>
          <w:tcPr>
            <w:tcW w:w="558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Out-of-school youth, ages 17-24 can be recruited into Adult Career Pathways.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(WIOA) Support Services – Items that are necessary for a youth to participate in WIOA programming, such as transportation, clothing, tools,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child care, housing/rental assistance, school-related expenses, etc. These expenses may be paid directly to the youth or to a third-party vendor.</w:t>
            </w:r>
          </w:p>
          <w:p w:rsidR="007E47D0" w:rsidRDefault="007E47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47D0">
        <w:tc>
          <w:tcPr>
            <w:tcW w:w="260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4) Job Service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https://mn.gov/deed/programs-services/mn-job-service/</w:t>
              </w:r>
            </w:hyperlink>
          </w:p>
        </w:tc>
        <w:tc>
          <w:tcPr>
            <w:tcW w:w="4860" w:type="dxa"/>
          </w:tcPr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Job Service focuses on providing a variety of employment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related labor exchange services, including but not limited to job search assistance, job referral, and placement assistance for job seekers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;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 </w:t>
            </w:r>
            <w:hyperlink r:id="rId9">
              <w:r>
                <w:rPr>
                  <w:rFonts w:ascii="Calibri" w:eastAsia="Calibri" w:hAnsi="Calibri" w:cs="Calibri"/>
                  <w:sz w:val="24"/>
                  <w:szCs w:val="24"/>
                  <w:highlight w:val="white"/>
                </w:rPr>
                <w:t>re-employment services to unemployment insurance claimants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; and recruitment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services to employers with job openings.</w:t>
            </w:r>
          </w:p>
        </w:tc>
        <w:tc>
          <w:tcPr>
            <w:tcW w:w="558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Adults accessing Job Service services can be recruited into Adult Career Pathways.</w:t>
            </w:r>
          </w:p>
        </w:tc>
      </w:tr>
      <w:tr w:rsidR="007E47D0">
        <w:tc>
          <w:tcPr>
            <w:tcW w:w="260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5) Vocational Rehabilitation Services</w:t>
            </w:r>
          </w:p>
          <w:p w:rsidR="007E47D0" w:rsidRDefault="00461D8F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https://mn.gov/deed/job-seekers/disabilities/</w:t>
              </w:r>
            </w:hyperlink>
          </w:p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 Services for the Blind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https://mn.gov/deed/job-seekers/blind-visual-impaired/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7E47D0" w:rsidRDefault="00461D8F">
            <w:p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lastRenderedPageBreak/>
              <w:t>Vocational Rehabilitation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 (VR) is a state program which assists people with disabilities to obtain </w:t>
            </w: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services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 that help them prepare to obtain and maintain employment.</w:t>
            </w:r>
          </w:p>
          <w:p w:rsidR="007E47D0" w:rsidRDefault="00461D8F">
            <w:pP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The goal of VRS is to help youth and adults with disabilities to obtain and maintain competitive integrated employment.  Services are individualized depending on a person’s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lastRenderedPageBreak/>
              <w:t>need.  They can include career counseling to help in identifying a job goal, traini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ng, job placement, and assistance with accommodations / assistive technology / other supports to help a person keep a job.  </w:t>
            </w:r>
          </w:p>
          <w:p w:rsidR="007E47D0" w:rsidRDefault="007E47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8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Adults accessing Vocational Rehabilitation Services can be recruited into Adult Career Pathways.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Financial assistance can include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tuition, fees, books, supplies, tools and equipment for training.</w:t>
            </w:r>
          </w:p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If a person with a disability is in need of employment-related supports, introduce them to VR to see if they are eligible and if there are services that could assist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lastRenderedPageBreak/>
              <w:t>them.  A person needs to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have 3 or more of 7 functional limitations in order to be served directly.  Those with 2 or less are put on a waiting list.  The seven functional limitations that VRS reviews are:  Mobility, Self-Direction, Self-Care, Interpersonal Skills, Communication,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Work Tolerance, and Work Skills.</w:t>
            </w:r>
          </w:p>
        </w:tc>
      </w:tr>
      <w:tr w:rsidR="007E47D0">
        <w:tc>
          <w:tcPr>
            <w:tcW w:w="2605" w:type="dxa"/>
          </w:tcPr>
          <w:p w:rsidR="007E47D0" w:rsidRDefault="00461D8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6) Adult Basic Education </w:t>
            </w:r>
          </w:p>
          <w:p w:rsidR="007E47D0" w:rsidRDefault="00461D8F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http://mnabe.org/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7E47D0" w:rsidRDefault="007E47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85" w:type="dxa"/>
          </w:tcPr>
          <w:p w:rsidR="007E47D0" w:rsidRDefault="007E47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47D0" w:rsidRDefault="007E47D0"/>
    <w:p w:rsidR="007E47D0" w:rsidRDefault="00461D8F">
      <w:r>
        <w:t xml:space="preserve"> </w:t>
      </w:r>
    </w:p>
    <w:p w:rsidR="00080840" w:rsidRDefault="00080840"/>
    <w:p w:rsidR="00080840" w:rsidRDefault="00080840"/>
    <w:p w:rsidR="00080840" w:rsidRDefault="00080840"/>
    <w:p w:rsidR="00080840" w:rsidRDefault="00080840"/>
    <w:p w:rsidR="00080840" w:rsidRDefault="00080840"/>
    <w:p w:rsidR="00080840" w:rsidRDefault="00080840"/>
    <w:p w:rsidR="00080840" w:rsidRDefault="00080840"/>
    <w:p w:rsidR="00080840" w:rsidRDefault="00080840"/>
    <w:p w:rsidR="007E47D0" w:rsidRDefault="00461D8F">
      <w:pPr>
        <w:rPr>
          <w:i/>
        </w:rPr>
      </w:pPr>
      <w:r>
        <w:rPr>
          <w:i/>
        </w:rPr>
        <w:t>Compiled by Julie Dincau, Minnesota Department of Education (Sept. 2017)</w:t>
      </w:r>
    </w:p>
    <w:sectPr w:rsidR="007E47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8F" w:rsidRDefault="00461D8F">
      <w:pPr>
        <w:spacing w:before="0" w:after="0" w:line="240" w:lineRule="auto"/>
      </w:pPr>
      <w:r>
        <w:separator/>
      </w:r>
    </w:p>
  </w:endnote>
  <w:endnote w:type="continuationSeparator" w:id="0">
    <w:p w:rsidR="00461D8F" w:rsidRDefault="00461D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0" w:rsidRDefault="007E47D0">
    <w:pPr>
      <w:tabs>
        <w:tab w:val="right" w:pos="10080"/>
      </w:tabs>
      <w:spacing w:before="0" w:after="504" w:line="33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0" w:rsidRDefault="00080840" w:rsidP="00080840">
    <w:pPr>
      <w:tabs>
        <w:tab w:val="right" w:pos="12240"/>
      </w:tabs>
      <w:spacing w:before="0" w:after="504" w:line="336" w:lineRule="auto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141CA">
      <w:rPr>
        <w:noProof/>
      </w:rPr>
      <w:t>1</w:t>
    </w:r>
    <w:r>
      <w:rPr>
        <w:noProof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0" w:rsidRDefault="00461D8F">
    <w:pPr>
      <w:tabs>
        <w:tab w:val="right" w:pos="10080"/>
      </w:tabs>
      <w:spacing w:before="0" w:after="504" w:line="336" w:lineRule="auto"/>
    </w:pPr>
    <w:r>
      <w:t>Document Name</w:t>
    </w:r>
    <w:r>
      <w:tab/>
    </w: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8F" w:rsidRDefault="00461D8F">
      <w:pPr>
        <w:spacing w:before="0" w:after="0" w:line="240" w:lineRule="auto"/>
      </w:pPr>
      <w:r>
        <w:separator/>
      </w:r>
    </w:p>
  </w:footnote>
  <w:footnote w:type="continuationSeparator" w:id="0">
    <w:p w:rsidR="00461D8F" w:rsidRDefault="00461D8F">
      <w:pPr>
        <w:spacing w:before="0" w:after="0" w:line="240" w:lineRule="auto"/>
      </w:pPr>
      <w:r>
        <w:continuationSeparator/>
      </w:r>
    </w:p>
  </w:footnote>
  <w:footnote w:id="1">
    <w:p w:rsidR="007E47D0" w:rsidRDefault="00461D8F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WorkForce Center is a branded term in Minnesota. WorkForce Centers are commonly referred to as One-Stop Centers and American Job Centers.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0" w:rsidRDefault="007E47D0">
    <w:pPr>
      <w:tabs>
        <w:tab w:val="center" w:pos="4680"/>
        <w:tab w:val="right" w:pos="9360"/>
      </w:tabs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0" w:rsidRDefault="007E47D0">
    <w:pPr>
      <w:tabs>
        <w:tab w:val="center" w:pos="4680"/>
        <w:tab w:val="right" w:pos="9360"/>
      </w:tabs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D0" w:rsidRDefault="007E47D0">
    <w:pPr>
      <w:tabs>
        <w:tab w:val="center" w:pos="4680"/>
        <w:tab w:val="right" w:pos="9360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0"/>
    <w:rsid w:val="00080840"/>
    <w:rsid w:val="00461D8F"/>
    <w:rsid w:val="007141CA"/>
    <w:rsid w:val="007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A00954-DE95-4E52-9B51-683C9E6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after="20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240"/>
      <w:outlineLvl w:val="1"/>
    </w:pPr>
    <w:rPr>
      <w:b/>
      <w:color w:val="003865"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b/>
      <w:color w:val="003865"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120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40" w:after="1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programs-services/mn-job-servi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n.gov/deed/programs-services/office-youth-development/" TargetMode="External"/><Relationship Id="rId12" Type="http://schemas.openxmlformats.org/officeDocument/2006/relationships/hyperlink" Target="http://mnabe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n.gov/deed/programs-services/dislocated-worker/" TargetMode="External"/><Relationship Id="rId11" Type="http://schemas.openxmlformats.org/officeDocument/2006/relationships/hyperlink" Target="https://mn.gov/deed/job-seekers/blind-visual-impaire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n.gov/deed/job-seekers/disabilitie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oleta.gov/programs/wprs.c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Andress</dc:creator>
  <cp:lastModifiedBy>Elizabeth Andress</cp:lastModifiedBy>
  <cp:revision>2</cp:revision>
  <dcterms:created xsi:type="dcterms:W3CDTF">2017-09-12T20:58:00Z</dcterms:created>
  <dcterms:modified xsi:type="dcterms:W3CDTF">2017-09-12T20:58:00Z</dcterms:modified>
</cp:coreProperties>
</file>